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6C" w:rsidRPr="00701560" w:rsidRDefault="003C0A52" w:rsidP="003C0A52">
      <w:pPr>
        <w:spacing w:after="0" w:afterAutospacing="0"/>
        <w:jc w:val="center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YATIRIM FONLARI RİSK BİLDİRİM FORMU</w:t>
      </w:r>
    </w:p>
    <w:p w:rsidR="003C0A52" w:rsidRPr="00701560" w:rsidRDefault="003C0A52" w:rsidP="003C0A52">
      <w:pPr>
        <w:spacing w:after="0" w:afterAutospacing="0"/>
        <w:jc w:val="center"/>
        <w:rPr>
          <w:b/>
          <w:sz w:val="21"/>
          <w:szCs w:val="21"/>
        </w:rPr>
      </w:pPr>
    </w:p>
    <w:p w:rsidR="003C0A52" w:rsidRPr="00701560" w:rsidRDefault="003C0A52" w:rsidP="003C0A52">
      <w:pPr>
        <w:spacing w:after="0" w:afterAutospacing="0"/>
        <w:jc w:val="left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I. ÖNEMLİ AÇIKLAMA</w:t>
      </w:r>
    </w:p>
    <w:p w:rsidR="003C0A52" w:rsidRPr="00701560" w:rsidRDefault="003C0A52" w:rsidP="003C0A52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Yatırım fonları katılma paylarının alım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satım işlemleri sonucunda kar elde edebileceğiniz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gibi zarar riskiniz de bulunmaktadır.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Bu nedenle, işlem yapmaya karar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vermeden önce, piyasada karşılaşabileceğiniz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riskleri anlamanız, mali durumunuzu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kısıtlarınızı dikkate alarak karar vermeniz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gerekmektedir.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Bu amaçla,</w:t>
      </w:r>
    </w:p>
    <w:p w:rsidR="003C0A52" w:rsidRPr="00701560" w:rsidRDefault="003C0A52" w:rsidP="003C0A52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 xml:space="preserve"> III-39.1 sayılı Yatırım Kuruluşlarının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Kuruluş ve Faaliyet Esasları Hakkında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Tebliğ’in 25 inci maddesi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uyarınca işbu Yatırım Fonlarına İlişkin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Risk Bildirim </w:t>
      </w:r>
      <w:proofErr w:type="spellStart"/>
      <w:r w:rsidRPr="00701560">
        <w:rPr>
          <w:sz w:val="21"/>
          <w:szCs w:val="21"/>
        </w:rPr>
        <w:t>Formu’nu</w:t>
      </w:r>
      <w:proofErr w:type="spellEnd"/>
      <w:r w:rsidRPr="00701560">
        <w:rPr>
          <w:sz w:val="21"/>
          <w:szCs w:val="21"/>
        </w:rPr>
        <w:t xml:space="preserve"> okuyarak anlamanız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gerekmektedir.</w:t>
      </w:r>
    </w:p>
    <w:p w:rsidR="003C0A52" w:rsidRPr="00701560" w:rsidRDefault="003C0A52" w:rsidP="003C0A52">
      <w:pPr>
        <w:spacing w:after="0" w:afterAutospacing="0"/>
        <w:jc w:val="left"/>
        <w:rPr>
          <w:sz w:val="21"/>
          <w:szCs w:val="21"/>
        </w:rPr>
      </w:pPr>
    </w:p>
    <w:p w:rsidR="003C0A52" w:rsidRPr="00701560" w:rsidRDefault="003C0A52" w:rsidP="003C0A52">
      <w:pPr>
        <w:spacing w:after="0" w:afterAutospacing="0"/>
        <w:jc w:val="left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II. UYARI</w:t>
      </w:r>
    </w:p>
    <w:p w:rsidR="003C0A52" w:rsidRPr="00701560" w:rsidRDefault="003C0A52" w:rsidP="003C0A52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İşlem yapmaya başlamadan önce çalışmayı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düşündüğünüz kuruluşun ilgili alım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satım aracılığı yetki </w:t>
      </w:r>
      <w:r w:rsidRPr="00701560">
        <w:rPr>
          <w:sz w:val="21"/>
          <w:szCs w:val="21"/>
        </w:rPr>
        <w:t>b</w:t>
      </w:r>
      <w:r w:rsidRPr="00701560">
        <w:rPr>
          <w:sz w:val="21"/>
          <w:szCs w:val="21"/>
        </w:rPr>
        <w:t>elgelerine ve Borsa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İstanbul A.Ş. Üyelik Belgesine sahip olup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olmadığını kontrol ediniz. Bu belgelere</w:t>
      </w:r>
    </w:p>
    <w:p w:rsidR="003C0A52" w:rsidRPr="00701560" w:rsidRDefault="003C0A52" w:rsidP="003C0A52">
      <w:pPr>
        <w:spacing w:after="0" w:afterAutospacing="0"/>
        <w:jc w:val="left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sahip</w:t>
      </w:r>
      <w:proofErr w:type="gramEnd"/>
      <w:r w:rsidRPr="00701560">
        <w:rPr>
          <w:sz w:val="21"/>
          <w:szCs w:val="21"/>
        </w:rPr>
        <w:t xml:space="preserve"> yatırım kuruluşlarını </w:t>
      </w:r>
      <w:hyperlink r:id="rId4" w:history="1">
        <w:r w:rsidRPr="00701560">
          <w:rPr>
            <w:rStyle w:val="Kpr"/>
            <w:sz w:val="21"/>
            <w:szCs w:val="21"/>
          </w:rPr>
          <w:t>www.spk.gov.tr</w:t>
        </w:r>
      </w:hyperlink>
      <w:r w:rsidRPr="00701560">
        <w:rPr>
          <w:sz w:val="21"/>
          <w:szCs w:val="21"/>
        </w:rPr>
        <w:t xml:space="preserve"> ,</w:t>
      </w:r>
      <w:r w:rsidRPr="00701560">
        <w:rPr>
          <w:sz w:val="21"/>
          <w:szCs w:val="21"/>
        </w:rPr>
        <w:t xml:space="preserve"> </w:t>
      </w:r>
      <w:hyperlink r:id="rId5" w:history="1">
        <w:r w:rsidRPr="00701560">
          <w:rPr>
            <w:rStyle w:val="Kpr"/>
            <w:sz w:val="21"/>
            <w:szCs w:val="21"/>
          </w:rPr>
          <w:t>www.borsaistanbul.com</w:t>
        </w:r>
      </w:hyperlink>
      <w:r w:rsidRPr="00701560">
        <w:rPr>
          <w:sz w:val="21"/>
          <w:szCs w:val="21"/>
        </w:rPr>
        <w:t xml:space="preserve">  </w:t>
      </w:r>
      <w:r w:rsidRPr="00701560">
        <w:rPr>
          <w:sz w:val="21"/>
          <w:szCs w:val="21"/>
        </w:rPr>
        <w:t xml:space="preserve"> ve </w:t>
      </w:r>
      <w:hyperlink r:id="rId6" w:history="1">
        <w:r w:rsidRPr="00701560">
          <w:rPr>
            <w:rStyle w:val="Kpr"/>
            <w:sz w:val="21"/>
            <w:szCs w:val="21"/>
          </w:rPr>
          <w:t>www.tspb.org.tr</w:t>
        </w:r>
      </w:hyperlink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internet sitelerinden veya diğer iletişim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araçları vasıtasıyla öğrenebilirsiniz.</w:t>
      </w:r>
    </w:p>
    <w:p w:rsidR="003C0A52" w:rsidRPr="00701560" w:rsidRDefault="003C0A52" w:rsidP="003C0A52">
      <w:pPr>
        <w:spacing w:after="0" w:afterAutospacing="0"/>
        <w:jc w:val="left"/>
        <w:rPr>
          <w:sz w:val="21"/>
          <w:szCs w:val="21"/>
        </w:rPr>
      </w:pPr>
    </w:p>
    <w:p w:rsidR="003C0A52" w:rsidRPr="00701560" w:rsidRDefault="003C0A52" w:rsidP="003C0A52">
      <w:pPr>
        <w:spacing w:after="0" w:afterAutospacing="0"/>
        <w:jc w:val="left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III. GENEL BİLGİLENDİRME</w:t>
      </w:r>
    </w:p>
    <w:p w:rsidR="006671CD" w:rsidRPr="00701560" w:rsidRDefault="003C0A52" w:rsidP="006671CD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Yatırım fonu, sermaye piyasası mevzuatı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çerçevesinde, tasarruf sahiplerinden katılma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payı karşılığında toplanan para yada diğer varlıklarla, tasarruf sahipleri hesabına,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inançlı mülkiyet esaslarına göre,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Sermaye Piyasası Kurulu tarafından belirlenen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varlıklar ve işlemlerden oluşan</w:t>
      </w:r>
      <w:r w:rsidR="006671CD" w:rsidRPr="00701560">
        <w:rPr>
          <w:sz w:val="21"/>
          <w:szCs w:val="21"/>
        </w:rPr>
        <w:t xml:space="preserve"> </w:t>
      </w:r>
      <w:proofErr w:type="gramStart"/>
      <w:r w:rsidRPr="00701560">
        <w:rPr>
          <w:sz w:val="21"/>
          <w:szCs w:val="21"/>
        </w:rPr>
        <w:t>portföy</w:t>
      </w:r>
      <w:proofErr w:type="gramEnd"/>
      <w:r w:rsidRPr="00701560">
        <w:rPr>
          <w:sz w:val="21"/>
          <w:szCs w:val="21"/>
        </w:rPr>
        <w:t xml:space="preserve"> veya portföyleri işletmek amacıyla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portföy yönetim şirketleri tarafından içtüzük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ile kurulan ve tüzel kişiliği bulunmayan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mal varlığını ifade eder. İşbu Yatırım</w:t>
      </w:r>
      <w:r w:rsidR="006671CD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Fonlarına İlişkin Risk Bildirim </w:t>
      </w:r>
      <w:proofErr w:type="spellStart"/>
      <w:r w:rsidRPr="00701560">
        <w:rPr>
          <w:sz w:val="21"/>
          <w:szCs w:val="21"/>
        </w:rPr>
        <w:t>Formu’nun</w:t>
      </w:r>
      <w:proofErr w:type="spellEnd"/>
      <w:r w:rsidR="006671CD" w:rsidRPr="00701560">
        <w:rPr>
          <w:sz w:val="21"/>
          <w:szCs w:val="21"/>
        </w:rPr>
        <w:t xml:space="preserve"> </w:t>
      </w:r>
      <w:r w:rsidR="006671CD" w:rsidRPr="00701560">
        <w:rPr>
          <w:sz w:val="21"/>
          <w:szCs w:val="21"/>
        </w:rPr>
        <w:t>amacı, borsa yatırım fonları, gayrimenkul</w:t>
      </w: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yatırım</w:t>
      </w:r>
      <w:proofErr w:type="gramEnd"/>
      <w:r w:rsidRPr="00701560">
        <w:rPr>
          <w:sz w:val="21"/>
          <w:szCs w:val="21"/>
        </w:rPr>
        <w:t xml:space="preserve"> fonları ile girişim sermayesi yatırım</w:t>
      </w:r>
      <w:r w:rsidR="000E27B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fonları dışındaki yatırım fonlarına ilişkin</w:t>
      </w:r>
      <w:r w:rsidR="000E27B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temel risklerin tarafınıza açıklanmasıdır.</w:t>
      </w:r>
    </w:p>
    <w:p w:rsidR="00117D58" w:rsidRPr="00701560" w:rsidRDefault="00117D58" w:rsidP="006671CD">
      <w:pPr>
        <w:spacing w:after="0" w:afterAutospacing="0"/>
        <w:jc w:val="left"/>
        <w:rPr>
          <w:sz w:val="21"/>
          <w:szCs w:val="21"/>
        </w:rPr>
      </w:pP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Yatırım fonu katılma payı alım satım işlemleri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gerçekleştirmeden önce ihtiyaçlarınıza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uygun şemsiye fonu ve şemsiye fona bağlı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yatırım fonunu belirleyerek, fon kurucusu,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 yöneticisi, yatırım fonu ve piyasa ile</w:t>
      </w: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ilişkili</w:t>
      </w:r>
      <w:proofErr w:type="gramEnd"/>
      <w:r w:rsidRPr="00701560">
        <w:rPr>
          <w:sz w:val="21"/>
          <w:szCs w:val="21"/>
        </w:rPr>
        <w:t xml:space="preserve"> riskleri tespit etmenizi, gerekli görebileceğiniz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araştırma ve incelemeyi gerçekleştirmenizi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yatırım kararlarınızı bu</w:t>
      </w:r>
      <w:r w:rsidR="00117D5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çerçevede vermenizi tavsiye etmekteyiz.</w:t>
      </w:r>
    </w:p>
    <w:p w:rsidR="00117D58" w:rsidRPr="00701560" w:rsidRDefault="00117D58" w:rsidP="006671CD">
      <w:pPr>
        <w:spacing w:after="0" w:afterAutospacing="0"/>
        <w:jc w:val="left"/>
        <w:rPr>
          <w:sz w:val="21"/>
          <w:szCs w:val="21"/>
        </w:rPr>
      </w:pPr>
    </w:p>
    <w:p w:rsidR="006671CD" w:rsidRPr="00701560" w:rsidRDefault="006671CD" w:rsidP="006671CD">
      <w:pPr>
        <w:spacing w:after="0" w:afterAutospacing="0"/>
        <w:jc w:val="left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Yatırım Fonlarına İlişkin Bilgilendirme</w:t>
      </w:r>
      <w:r w:rsidR="00117D58" w:rsidRPr="00701560">
        <w:rPr>
          <w:b/>
          <w:sz w:val="21"/>
          <w:szCs w:val="21"/>
        </w:rPr>
        <w:t xml:space="preserve"> </w:t>
      </w:r>
      <w:r w:rsidRPr="00701560">
        <w:rPr>
          <w:b/>
          <w:sz w:val="21"/>
          <w:szCs w:val="21"/>
        </w:rPr>
        <w:t>Dokümanları</w:t>
      </w: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İlgili sermaye piyasası mevzuatı kapsamında,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fonlara ilişkin olarak şemsiye fon içtüzüğü,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fon </w:t>
      </w:r>
      <w:proofErr w:type="spellStart"/>
      <w:r w:rsidRPr="00701560">
        <w:rPr>
          <w:sz w:val="21"/>
          <w:szCs w:val="21"/>
        </w:rPr>
        <w:t>izahnamesi</w:t>
      </w:r>
      <w:proofErr w:type="spellEnd"/>
      <w:r w:rsidRPr="00701560">
        <w:rPr>
          <w:sz w:val="21"/>
          <w:szCs w:val="21"/>
        </w:rPr>
        <w:t xml:space="preserve"> ve yatırımcı bilgi formu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olmak üzere üç adet bilgilendirme dokümanı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mevcuttur. Bazı fon türleri bakımından</w:t>
      </w: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yatırımcı</w:t>
      </w:r>
      <w:proofErr w:type="gramEnd"/>
      <w:r w:rsidRPr="00701560">
        <w:rPr>
          <w:sz w:val="21"/>
          <w:szCs w:val="21"/>
        </w:rPr>
        <w:t xml:space="preserve"> bilgi formu hazırlanması zorunlu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değildir. Yatırım kararı vermeden önce bahsi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geçen dokümanları dikkatlice değerlendirmeniz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gerek duymanız durumunda profesyonel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yardım almanız tavsiye olunur.</w:t>
      </w:r>
    </w:p>
    <w:p w:rsidR="000F3E33" w:rsidRPr="00701560" w:rsidRDefault="000F3E33" w:rsidP="006671CD">
      <w:pPr>
        <w:spacing w:after="0" w:afterAutospacing="0"/>
        <w:jc w:val="left"/>
        <w:rPr>
          <w:sz w:val="21"/>
          <w:szCs w:val="21"/>
        </w:rPr>
      </w:pPr>
    </w:p>
    <w:p w:rsidR="006671CD" w:rsidRPr="00701560" w:rsidRDefault="006671CD" w:rsidP="006671CD">
      <w:pPr>
        <w:spacing w:after="0" w:afterAutospacing="0"/>
        <w:jc w:val="left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Şemsiye Fon İçtüzüğü</w:t>
      </w: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Şemsiye fon, katılma payları tek bir içtüzük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kapsamında ihraç edilen tüm fonları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kapsayan yatırım fonudur. Şemsiye fona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bağlı her bir yatırım fonu, şemsiye fon içtüzüğünde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ilgili sermaye piyasası mevzuatında</w:t>
      </w:r>
    </w:p>
    <w:p w:rsidR="006671CD" w:rsidRPr="00701560" w:rsidRDefault="006671CD" w:rsidP="006671CD">
      <w:pPr>
        <w:spacing w:after="0" w:afterAutospacing="0"/>
        <w:jc w:val="left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yer</w:t>
      </w:r>
      <w:proofErr w:type="gramEnd"/>
      <w:r w:rsidRPr="00701560">
        <w:rPr>
          <w:sz w:val="21"/>
          <w:szCs w:val="21"/>
        </w:rPr>
        <w:t xml:space="preserve"> alan esaslara uygun olarak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oluşturulmaktadır.</w:t>
      </w:r>
    </w:p>
    <w:p w:rsidR="000F3E33" w:rsidRPr="00701560" w:rsidRDefault="000F3E33" w:rsidP="006671CD">
      <w:pPr>
        <w:spacing w:after="0" w:afterAutospacing="0"/>
        <w:jc w:val="left"/>
        <w:rPr>
          <w:sz w:val="21"/>
          <w:szCs w:val="21"/>
        </w:rPr>
      </w:pPr>
    </w:p>
    <w:p w:rsidR="006671CD" w:rsidRPr="00701560" w:rsidRDefault="006671CD" w:rsidP="006671CD">
      <w:pPr>
        <w:spacing w:after="0" w:afterAutospacing="0"/>
        <w:jc w:val="left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 xml:space="preserve">Yatırım Fonu </w:t>
      </w:r>
      <w:proofErr w:type="spellStart"/>
      <w:r w:rsidRPr="00701560">
        <w:rPr>
          <w:b/>
          <w:sz w:val="21"/>
          <w:szCs w:val="21"/>
        </w:rPr>
        <w:t>İzahnamesi</w:t>
      </w:r>
      <w:proofErr w:type="spellEnd"/>
    </w:p>
    <w:p w:rsidR="000F3E33" w:rsidRPr="00701560" w:rsidRDefault="006671CD" w:rsidP="008805B3">
      <w:pPr>
        <w:spacing w:after="0" w:afterAutospacing="0"/>
        <w:jc w:val="left"/>
        <w:rPr>
          <w:sz w:val="21"/>
          <w:szCs w:val="21"/>
        </w:rPr>
      </w:pPr>
      <w:r w:rsidRPr="00701560">
        <w:rPr>
          <w:sz w:val="21"/>
          <w:szCs w:val="21"/>
        </w:rPr>
        <w:t>Şemsiye fona bağlı her bir yatırım fonunun</w:t>
      </w:r>
      <w:r w:rsidR="000F3E3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katılma paylarının ihracı için ayrı bir</w:t>
      </w:r>
      <w:r w:rsidR="000F3E33" w:rsidRPr="00701560">
        <w:rPr>
          <w:sz w:val="21"/>
          <w:szCs w:val="21"/>
        </w:rPr>
        <w:t xml:space="preserve"> </w:t>
      </w:r>
      <w:proofErr w:type="spellStart"/>
      <w:r w:rsidR="000F3E33" w:rsidRPr="00701560">
        <w:rPr>
          <w:sz w:val="21"/>
          <w:szCs w:val="21"/>
        </w:rPr>
        <w:t>izahname</w:t>
      </w:r>
      <w:proofErr w:type="spellEnd"/>
      <w:r w:rsidR="000F3E33" w:rsidRPr="00701560">
        <w:rPr>
          <w:sz w:val="21"/>
          <w:szCs w:val="21"/>
        </w:rPr>
        <w:t xml:space="preserve"> d</w:t>
      </w:r>
      <w:r w:rsidRPr="00701560">
        <w:rPr>
          <w:sz w:val="21"/>
          <w:szCs w:val="21"/>
        </w:rPr>
        <w:t>üzenlenmektedir.</w:t>
      </w:r>
      <w:r w:rsidR="008805B3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 xml:space="preserve">Yatırım fonu </w:t>
      </w:r>
      <w:proofErr w:type="spellStart"/>
      <w:r w:rsidR="000F3E33" w:rsidRPr="00701560">
        <w:rPr>
          <w:sz w:val="21"/>
          <w:szCs w:val="21"/>
        </w:rPr>
        <w:t>izahnamesi</w:t>
      </w:r>
      <w:proofErr w:type="spellEnd"/>
      <w:r w:rsidR="000F3E33" w:rsidRPr="00701560">
        <w:rPr>
          <w:sz w:val="21"/>
          <w:szCs w:val="21"/>
        </w:rPr>
        <w:t>, fon kurucusu,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 xml:space="preserve">fon yöneticisi, </w:t>
      </w:r>
      <w:proofErr w:type="gramStart"/>
      <w:r w:rsidR="000F3E33" w:rsidRPr="00701560">
        <w:rPr>
          <w:sz w:val="21"/>
          <w:szCs w:val="21"/>
        </w:rPr>
        <w:t>portföy</w:t>
      </w:r>
      <w:proofErr w:type="gramEnd"/>
      <w:r w:rsidR="000F3E33" w:rsidRPr="00701560">
        <w:rPr>
          <w:sz w:val="21"/>
          <w:szCs w:val="21"/>
        </w:rPr>
        <w:t xml:space="preserve"> saklayıcı kurum, fonun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yapısı, fona ilişkin sınırlamalar, fona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katılma ve fondan ayrılma şartları, fon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malvarlığından yapılabilecek harcamalara</w:t>
      </w:r>
      <w:r w:rsidR="008805B3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ilişkin esaslar ve fonun tasfiye şekli gibi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sermaye piyasası mevzuatında belirlenen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yatırım fonuna ilişkin temel bilgilerin yer</w:t>
      </w:r>
      <w:r w:rsidR="00183847" w:rsidRPr="00701560">
        <w:rPr>
          <w:sz w:val="21"/>
          <w:szCs w:val="21"/>
        </w:rPr>
        <w:t xml:space="preserve"> </w:t>
      </w:r>
      <w:r w:rsidR="000F3E33" w:rsidRPr="00701560">
        <w:rPr>
          <w:sz w:val="21"/>
          <w:szCs w:val="21"/>
        </w:rPr>
        <w:t>aldığı belgedir.</w:t>
      </w:r>
    </w:p>
    <w:p w:rsidR="00183847" w:rsidRPr="00701560" w:rsidRDefault="00183847" w:rsidP="000F3E33">
      <w:pPr>
        <w:spacing w:after="0" w:afterAutospacing="0"/>
        <w:rPr>
          <w:sz w:val="21"/>
          <w:szCs w:val="21"/>
        </w:rPr>
      </w:pPr>
    </w:p>
    <w:p w:rsidR="000F3E33" w:rsidRPr="00701560" w:rsidRDefault="000F3E33" w:rsidP="000F3E33">
      <w:pPr>
        <w:spacing w:after="0" w:afterAutospacing="0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Yatırımcı Bilgi Formu</w:t>
      </w:r>
    </w:p>
    <w:p w:rsidR="000F3E33" w:rsidRPr="00701560" w:rsidRDefault="000F3E33" w:rsidP="000F3E3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Şemsiye fona bağlı her bir yatırım fonunun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katılma paylarının ihracı için ayrı bir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yatırımcı bilgi formu düzenlenmektedir.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 Yatırımcı bilgi formu, yatırım fonunun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yapısını, yatırım stratejisini ve risklerini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gösteren özet formu ifade eder.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Bazı fon türleri bakımından yatırımcı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bilgi formu hazırlanması zorunlu değildir.</w:t>
      </w:r>
    </w:p>
    <w:p w:rsidR="008805B3" w:rsidRPr="00701560" w:rsidRDefault="008805B3" w:rsidP="000F3E33">
      <w:pPr>
        <w:spacing w:after="0" w:afterAutospacing="0"/>
        <w:rPr>
          <w:b/>
          <w:sz w:val="21"/>
          <w:szCs w:val="21"/>
        </w:rPr>
      </w:pPr>
    </w:p>
    <w:p w:rsidR="008805B3" w:rsidRPr="00701560" w:rsidRDefault="008805B3" w:rsidP="000F3E33">
      <w:pPr>
        <w:spacing w:after="0" w:afterAutospacing="0"/>
        <w:rPr>
          <w:b/>
          <w:sz w:val="21"/>
          <w:szCs w:val="21"/>
        </w:rPr>
      </w:pPr>
    </w:p>
    <w:p w:rsidR="008805B3" w:rsidRPr="00701560" w:rsidRDefault="008805B3" w:rsidP="000F3E33">
      <w:pPr>
        <w:spacing w:after="0" w:afterAutospacing="0"/>
        <w:rPr>
          <w:b/>
          <w:sz w:val="21"/>
          <w:szCs w:val="21"/>
        </w:rPr>
      </w:pPr>
    </w:p>
    <w:p w:rsidR="008805B3" w:rsidRPr="00701560" w:rsidRDefault="000F3E33" w:rsidP="000F3E33">
      <w:pPr>
        <w:spacing w:after="0" w:afterAutospacing="0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Yatırım Fonu Portföyüne İlişkin</w:t>
      </w:r>
      <w:r w:rsidR="008805B3" w:rsidRPr="00701560">
        <w:rPr>
          <w:b/>
          <w:sz w:val="21"/>
          <w:szCs w:val="21"/>
        </w:rPr>
        <w:t xml:space="preserve"> </w:t>
      </w:r>
      <w:r w:rsidRPr="00701560">
        <w:rPr>
          <w:b/>
          <w:sz w:val="21"/>
          <w:szCs w:val="21"/>
        </w:rPr>
        <w:t>Sınırlamalar</w:t>
      </w:r>
    </w:p>
    <w:p w:rsidR="000F3E33" w:rsidRPr="00701560" w:rsidRDefault="000F3E33" w:rsidP="000F3E3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lastRenderedPageBreak/>
        <w:t>Sermaye piyasası mevzuatında yatırım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fonu portföyüne alınacak varlıklar ve ihraççılarına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ilişkin sınırlamalar öngörülmekle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birlikte, serbest fonlar bu sınırlamalara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tabi olmaksızın fonun bilgilendirme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dokümanlarında yer alan yatırım stratejileri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ve limitleri </w:t>
      </w:r>
      <w:proofErr w:type="gramStart"/>
      <w:r w:rsidRPr="00701560">
        <w:rPr>
          <w:sz w:val="21"/>
          <w:szCs w:val="21"/>
        </w:rPr>
        <w:t>dahilinde</w:t>
      </w:r>
      <w:proofErr w:type="gramEnd"/>
      <w:r w:rsidRPr="00701560">
        <w:rPr>
          <w:sz w:val="21"/>
          <w:szCs w:val="21"/>
        </w:rPr>
        <w:t xml:space="preserve"> yatırım yapabilmektedir.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Örneğin, bir serbest fonun borsa</w:t>
      </w:r>
    </w:p>
    <w:p w:rsidR="000F3E33" w:rsidRPr="00701560" w:rsidRDefault="000F3E33" w:rsidP="000F3E33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dışında</w:t>
      </w:r>
      <w:proofErr w:type="gramEnd"/>
      <w:r w:rsidRPr="00701560">
        <w:rPr>
          <w:sz w:val="21"/>
          <w:szCs w:val="21"/>
        </w:rPr>
        <w:t xml:space="preserve"> bir sözleşmeye taraf olması halinde,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sözleşmenin karşı taraflarının ilgili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sermaye piyasası mevzuatı çerçevesinde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derecelendirme notuna sahip olması şartı</w:t>
      </w:r>
      <w:r w:rsidR="008805B3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aranmayacaktır.</w:t>
      </w:r>
    </w:p>
    <w:p w:rsidR="008805B3" w:rsidRPr="00701560" w:rsidRDefault="008805B3" w:rsidP="000F3E33">
      <w:pPr>
        <w:spacing w:after="0" w:afterAutospacing="0"/>
        <w:rPr>
          <w:sz w:val="21"/>
          <w:szCs w:val="21"/>
        </w:rPr>
      </w:pPr>
    </w:p>
    <w:p w:rsidR="000F3E33" w:rsidRPr="00701560" w:rsidRDefault="000F3E33" w:rsidP="000F3E33">
      <w:pPr>
        <w:spacing w:after="0" w:afterAutospacing="0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IV. İKİNCİL PİYASAYA İLİŞKİN</w:t>
      </w:r>
      <w:r w:rsidR="00F342AA" w:rsidRPr="00701560">
        <w:rPr>
          <w:b/>
          <w:sz w:val="21"/>
          <w:szCs w:val="21"/>
        </w:rPr>
        <w:t xml:space="preserve"> </w:t>
      </w:r>
      <w:r w:rsidRPr="00701560">
        <w:rPr>
          <w:b/>
          <w:sz w:val="21"/>
          <w:szCs w:val="21"/>
        </w:rPr>
        <w:t>BİLGİLENDİRME</w:t>
      </w:r>
    </w:p>
    <w:p w:rsidR="000F3E33" w:rsidRPr="00701560" w:rsidRDefault="000F3E33" w:rsidP="000F3E3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fonu alım satım işlemleri hem birincil</w:t>
      </w:r>
      <w:r w:rsidR="004C5FE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hem de ikincil piyasayı kapsamaktadır.</w:t>
      </w:r>
      <w:r w:rsidR="004C5FE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Yatırım fonlarında ikincil piyasa</w:t>
      </w:r>
      <w:r w:rsidR="004C5FE8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işlemleri fona iade şeklinde gerçekleşebilmektedir</w:t>
      </w:r>
      <w:r w:rsidR="004C5FE8" w:rsidRPr="00701560">
        <w:rPr>
          <w:sz w:val="21"/>
          <w:szCs w:val="21"/>
        </w:rPr>
        <w:t>.</w:t>
      </w:r>
    </w:p>
    <w:p w:rsidR="004C5FE8" w:rsidRPr="00701560" w:rsidRDefault="004C5FE8" w:rsidP="000F3E33">
      <w:pPr>
        <w:spacing w:after="0" w:afterAutospacing="0"/>
        <w:rPr>
          <w:sz w:val="21"/>
          <w:szCs w:val="21"/>
        </w:rPr>
      </w:pPr>
    </w:p>
    <w:p w:rsidR="004C5FE8" w:rsidRPr="00701560" w:rsidRDefault="004C5FE8" w:rsidP="004C5FE8">
      <w:pPr>
        <w:spacing w:after="0" w:afterAutospacing="0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V. RİSK BİLDİRİMİ</w:t>
      </w:r>
    </w:p>
    <w:p w:rsidR="004C5FE8" w:rsidRPr="00701560" w:rsidRDefault="004C5FE8" w:rsidP="004C5FE8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İşlem yapacağınız yatırım kuruluşu ile akdettiğiniz/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akdedeceğiniz Sermaye Piyasası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Faaliyetleri Çerçeve Sözleşmeleri Genel Hüküm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Şartları (“Genel Sözleşme”) ile Genel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Sözleşme’nin ekinde yer alan Yatırım</w:t>
      </w:r>
    </w:p>
    <w:p w:rsidR="004C5FE8" w:rsidRPr="00701560" w:rsidRDefault="004C5FE8" w:rsidP="004C5FE8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Hizmet ve Faaliyetleri Genel Risk Bildirim</w:t>
      </w:r>
      <w:r w:rsidRPr="00701560">
        <w:rPr>
          <w:sz w:val="21"/>
          <w:szCs w:val="21"/>
        </w:rPr>
        <w:t xml:space="preserve"> </w:t>
      </w:r>
      <w:proofErr w:type="spellStart"/>
      <w:r w:rsidRPr="00701560">
        <w:rPr>
          <w:sz w:val="21"/>
          <w:szCs w:val="21"/>
        </w:rPr>
        <w:t>Formu’nda</w:t>
      </w:r>
      <w:proofErr w:type="spellEnd"/>
      <w:r w:rsidRPr="00701560">
        <w:rPr>
          <w:sz w:val="21"/>
          <w:szCs w:val="21"/>
        </w:rPr>
        <w:t xml:space="preserve"> belirtilen hususlara ek olarak,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yatırım fonlarının ilişkili olduğu bazı risklere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aşağıda yer verilmektedir:</w:t>
      </w:r>
    </w:p>
    <w:p w:rsidR="004C5FE8" w:rsidRPr="00701560" w:rsidRDefault="004C5FE8" w:rsidP="004C5FE8">
      <w:pPr>
        <w:spacing w:after="0" w:afterAutospacing="0"/>
        <w:rPr>
          <w:sz w:val="21"/>
          <w:szCs w:val="21"/>
        </w:rPr>
      </w:pPr>
    </w:p>
    <w:p w:rsidR="004C5FE8" w:rsidRPr="00701560" w:rsidRDefault="004C5FE8" w:rsidP="004C5FE8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Çalışmayı düşündüğünüz yatırım kuruluşu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nezdinde açtıracağınız hesap ve bu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hesap üzerinden gerçekleştirilecek tüm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işlemler Sermaye Piyasası Kurulu, Borsa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İstanbul A.Ş</w:t>
      </w:r>
      <w:proofErr w:type="gramStart"/>
      <w:r w:rsidRPr="00701560">
        <w:rPr>
          <w:sz w:val="21"/>
          <w:szCs w:val="21"/>
        </w:rPr>
        <w:t>.,</w:t>
      </w:r>
      <w:proofErr w:type="gramEnd"/>
      <w:r w:rsidRPr="00701560">
        <w:rPr>
          <w:sz w:val="21"/>
          <w:szCs w:val="21"/>
        </w:rPr>
        <w:t xml:space="preserve"> merkezi kayıt kuruluşları ile</w:t>
      </w:r>
    </w:p>
    <w:p w:rsidR="00AB1C0A" w:rsidRPr="00701560" w:rsidRDefault="004C5FE8" w:rsidP="004C5FE8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takas</w:t>
      </w:r>
      <w:proofErr w:type="gramEnd"/>
      <w:r w:rsidRPr="00701560">
        <w:rPr>
          <w:sz w:val="21"/>
          <w:szCs w:val="21"/>
        </w:rPr>
        <w:t xml:space="preserve"> ve saklama merkezleri tarafından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çıkartılan ilgili her türlü mevzuat, karar ve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benzeri düzenlemelere tabidir. Mevzuat,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düzenleme ve uygulamalarda zaman zaman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değişiklik yapılması mümkün olup,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meydana gelebilecek değişiklikleri takip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etmeniz önem arz etmektedir.</w:t>
      </w:r>
      <w:r w:rsidR="00AB1C0A" w:rsidRPr="00701560">
        <w:rPr>
          <w:sz w:val="21"/>
          <w:szCs w:val="21"/>
        </w:rPr>
        <w:t xml:space="preserve"> </w:t>
      </w:r>
    </w:p>
    <w:p w:rsidR="00AB1C0A" w:rsidRPr="00701560" w:rsidRDefault="00AB1C0A" w:rsidP="004C5FE8">
      <w:pPr>
        <w:spacing w:after="0" w:afterAutospacing="0"/>
        <w:rPr>
          <w:sz w:val="21"/>
          <w:szCs w:val="21"/>
        </w:rPr>
      </w:pPr>
    </w:p>
    <w:p w:rsidR="004C5FE8" w:rsidRPr="00701560" w:rsidRDefault="004C5FE8" w:rsidP="004C5FE8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fonu katılma payı işlemleri, çeşitli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tür ve oranlarda risklere tabidir. Yatırım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fonu katılma paylarına yaptığınız yatırımların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tamamını kaybedebilir ve beklediğiniz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kazançtan mahrum kalabilirsiniz.</w:t>
      </w:r>
    </w:p>
    <w:p w:rsidR="00AB1C0A" w:rsidRPr="00701560" w:rsidRDefault="00AB1C0A" w:rsidP="004C5FE8">
      <w:pPr>
        <w:spacing w:after="0" w:afterAutospacing="0"/>
        <w:rPr>
          <w:sz w:val="21"/>
          <w:szCs w:val="21"/>
        </w:rPr>
      </w:pPr>
    </w:p>
    <w:p w:rsidR="004C5FE8" w:rsidRPr="00701560" w:rsidRDefault="00AB1C0A" w:rsidP="004C5FE8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</w:t>
      </w:r>
      <w:r w:rsidR="004C5FE8" w:rsidRPr="00701560">
        <w:rPr>
          <w:sz w:val="21"/>
          <w:szCs w:val="21"/>
        </w:rPr>
        <w:t>atırım fonlarının katılma payı ihracına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izin verilmesi veya yatırım fonu katılma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paylarının Türkiye Elektronik Fon Alım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Satım Platformu (“TEFAS”) nezdinde işlem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görmesi, katılma paylarının Sermaye Piyasası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Kurulu veya İstanbul Takas ve Saklama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Bankası A.Ş. (“</w:t>
      </w:r>
      <w:proofErr w:type="spellStart"/>
      <w:r w:rsidR="004C5FE8" w:rsidRPr="00701560">
        <w:rPr>
          <w:sz w:val="21"/>
          <w:szCs w:val="21"/>
        </w:rPr>
        <w:t>Takasbank</w:t>
      </w:r>
      <w:proofErr w:type="spellEnd"/>
      <w:r w:rsidR="004C5FE8" w:rsidRPr="00701560">
        <w:rPr>
          <w:sz w:val="21"/>
          <w:szCs w:val="21"/>
        </w:rPr>
        <w:t>”) tarafından</w:t>
      </w:r>
      <w:r w:rsidRPr="00701560">
        <w:rPr>
          <w:sz w:val="21"/>
          <w:szCs w:val="21"/>
        </w:rPr>
        <w:t xml:space="preserve"> </w:t>
      </w:r>
      <w:r w:rsidR="004C5FE8" w:rsidRPr="00701560">
        <w:rPr>
          <w:sz w:val="21"/>
          <w:szCs w:val="21"/>
        </w:rPr>
        <w:t>tekeffül edildiği anlamına gelmemektedir.</w:t>
      </w:r>
    </w:p>
    <w:p w:rsidR="00AB1C0A" w:rsidRPr="00701560" w:rsidRDefault="00AB1C0A" w:rsidP="004C5FE8">
      <w:pPr>
        <w:spacing w:after="0" w:afterAutospacing="0"/>
        <w:rPr>
          <w:sz w:val="21"/>
          <w:szCs w:val="21"/>
        </w:rPr>
      </w:pPr>
    </w:p>
    <w:p w:rsidR="005132DD" w:rsidRPr="00701560" w:rsidRDefault="004C5FE8" w:rsidP="005132DD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 xml:space="preserve">Yatırım fonu </w:t>
      </w:r>
      <w:proofErr w:type="gramStart"/>
      <w:r w:rsidRPr="00701560">
        <w:rPr>
          <w:sz w:val="21"/>
          <w:szCs w:val="21"/>
        </w:rPr>
        <w:t>portföyündeki</w:t>
      </w:r>
      <w:proofErr w:type="gramEnd"/>
      <w:r w:rsidRPr="00701560">
        <w:rPr>
          <w:sz w:val="21"/>
          <w:szCs w:val="21"/>
        </w:rPr>
        <w:t xml:space="preserve"> varlıklar,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portföye borsa dışından alınan sermaye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araçları nedeniyle karşı taraf riskine, piyasadaki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fiyat, kur, faiz değişimlerine ve diğer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gelişmelere bağlı olarak piyasa riskine,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piyasadaki arz/talep dengesi çerçevesinde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likidite riskine, mevzuat, yetkili merci/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makam kararları, vergisel değişiklikler ve</w:t>
      </w:r>
      <w:r w:rsidR="00AB1C0A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hukuki uygulama değişikliklerine bağlı</w:t>
      </w:r>
      <w:r w:rsidR="00AB1C0A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>olarak yasal risklere, kur riskine ve diğer</w:t>
      </w:r>
      <w:r w:rsidR="005132DD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>özel risk türlerine maruz kalabilecektir.</w:t>
      </w:r>
      <w:r w:rsidR="005132DD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 xml:space="preserve">Yatırım fonu </w:t>
      </w:r>
      <w:proofErr w:type="gramStart"/>
      <w:r w:rsidR="005132DD" w:rsidRPr="00701560">
        <w:rPr>
          <w:sz w:val="21"/>
          <w:szCs w:val="21"/>
        </w:rPr>
        <w:t>portföyündeki</w:t>
      </w:r>
      <w:proofErr w:type="gramEnd"/>
      <w:r w:rsidR="005132DD" w:rsidRPr="00701560">
        <w:rPr>
          <w:sz w:val="21"/>
          <w:szCs w:val="21"/>
        </w:rPr>
        <w:t xml:space="preserve"> varlıkların</w:t>
      </w:r>
      <w:r w:rsidR="005132DD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>taşıdığı riskler çerçevesinde, fon portföyü</w:t>
      </w:r>
      <w:r w:rsidR="005132DD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>değerinin olumsuz etkilenmesi durumunda,</w:t>
      </w:r>
      <w:r w:rsidR="005132DD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>fon katılma paylarının değeri de düşüş</w:t>
      </w:r>
      <w:r w:rsidR="005132DD" w:rsidRPr="00701560">
        <w:rPr>
          <w:sz w:val="21"/>
          <w:szCs w:val="21"/>
        </w:rPr>
        <w:t xml:space="preserve"> </w:t>
      </w:r>
      <w:r w:rsidR="005132DD" w:rsidRPr="00701560">
        <w:rPr>
          <w:sz w:val="21"/>
          <w:szCs w:val="21"/>
        </w:rPr>
        <w:t>yaşayabilecektir.</w:t>
      </w: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Yüksek risk içeren yatırım fonları, daha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yüksek getiri imkânı sağlayabilmekle birlikte,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bu fonlara ait katılma paylarına yatırım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yapmanız durumunda üstlendiğiniz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riskin de daha fazla olduğunun bilincinde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olmalısınız. Yatırım kararı vermeden önce,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işlem gerçekleştirmek istediğiniz yatırım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fonlarının barındırdıkları risk unsurlarını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dikkatlice değerlendirmeniz ve gerek duymanız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durumunda profesyonel yardım almanız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tavsiye olunur.</w:t>
      </w: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fonu katılma payı alım satım işlemleri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karşı taraf riski ihtiva etmektedir.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Bu doğrultuda, işleme başlamadan önce,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yatırım yapmayı düşündüğünüz yatırım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fonunun mali yükümlülüklerini karşılayamaz</w:t>
      </w: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duruma</w:t>
      </w:r>
      <w:proofErr w:type="gramEnd"/>
      <w:r w:rsidRPr="00701560">
        <w:rPr>
          <w:sz w:val="21"/>
          <w:szCs w:val="21"/>
        </w:rPr>
        <w:t xml:space="preserve"> gelmesi ihtimalini göz önünde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bulundurmalısınız.</w:t>
      </w: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fonu katılma payı işlemlerinin,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ilgili yatırım fonuna ilişkin bilgilendirme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dokümanlarında yer alan katılma paylarının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satın alınması ve fona iadesine ilişkin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kurallara tabi olduğunun, bu kurallar çerçevesinde</w:t>
      </w: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bazı fonlarda fona giriş ve/veya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fondan çıkış komisyonu uygulanabileceğinin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ve fon portföyünün yeterince </w:t>
      </w:r>
      <w:proofErr w:type="gramStart"/>
      <w:r w:rsidRPr="00701560">
        <w:rPr>
          <w:sz w:val="21"/>
          <w:szCs w:val="21"/>
        </w:rPr>
        <w:t>likit</w:t>
      </w:r>
      <w:proofErr w:type="gramEnd"/>
      <w:r w:rsidRPr="00701560">
        <w:rPr>
          <w:sz w:val="21"/>
          <w:szCs w:val="21"/>
        </w:rPr>
        <w:t xml:space="preserve"> olmaması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diğer nedenler ile likidite riski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taşıyabileceğinin bilincinde olmalısınız.</w:t>
      </w:r>
      <w:r w:rsidRPr="00701560">
        <w:rPr>
          <w:sz w:val="21"/>
          <w:szCs w:val="21"/>
        </w:rPr>
        <w:t xml:space="preserve"> </w:t>
      </w: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</w:p>
    <w:p w:rsidR="005132DD" w:rsidRPr="00701560" w:rsidRDefault="005132DD" w:rsidP="005132DD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Bazı yatırım fonlarının katılma paylarının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alım satımı, sermaye piyasası mevzuatında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yer alan şartlar çerçevesinde yabancı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para birimleri üzerinden gerçekleştirilebilmektedir.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Yabancı para cinsinden yapılan</w:t>
      </w:r>
    </w:p>
    <w:p w:rsidR="00CC6A83" w:rsidRPr="00701560" w:rsidRDefault="005132DD" w:rsidP="00CC6A83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katılma</w:t>
      </w:r>
      <w:proofErr w:type="gramEnd"/>
      <w:r w:rsidRPr="00701560">
        <w:rPr>
          <w:sz w:val="21"/>
          <w:szCs w:val="21"/>
        </w:rPr>
        <w:t xml:space="preserve"> payı alım satım işlemlerinde,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yukarıda sayılan risklere ek olarak kur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riskinin de olduğu, kur dalgalanmaları</w:t>
      </w:r>
      <w:r w:rsidR="00CC6A83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nedeniyle Türk Lirası bazında değer kaybı</w:t>
      </w:r>
      <w:r w:rsidR="00001C15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olabileceği dikkate alınmalıdır. Ayrıca yurt</w:t>
      </w:r>
      <w:r w:rsidR="00001C15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içinde ve yurt dışında devletlerin yabancı</w:t>
      </w:r>
      <w:r w:rsidR="00001C15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sermaye ve döviz hareketlerini kısıtlayabileceği,</w:t>
      </w:r>
      <w:r w:rsidR="00001C15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ek ve/veya yeni vergiler getirebileceği,</w:t>
      </w:r>
      <w:r w:rsidR="00001C15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alım satım işlemlerinin zamanında</w:t>
      </w:r>
      <w:r w:rsidR="00001C15" w:rsidRPr="00701560">
        <w:rPr>
          <w:sz w:val="21"/>
          <w:szCs w:val="21"/>
        </w:rPr>
        <w:t xml:space="preserve"> </w:t>
      </w:r>
      <w:r w:rsidR="00CC6A83" w:rsidRPr="00701560">
        <w:rPr>
          <w:sz w:val="21"/>
          <w:szCs w:val="21"/>
        </w:rPr>
        <w:t>gerçekleşmeyebileceği de bilinmelidir.</w:t>
      </w:r>
    </w:p>
    <w:p w:rsidR="00001C15" w:rsidRPr="00701560" w:rsidRDefault="00001C15" w:rsidP="00CC6A83">
      <w:pPr>
        <w:spacing w:after="0" w:afterAutospacing="0"/>
        <w:rPr>
          <w:sz w:val="21"/>
          <w:szCs w:val="21"/>
        </w:rPr>
      </w:pPr>
    </w:p>
    <w:p w:rsidR="00CC6A83" w:rsidRPr="00701560" w:rsidRDefault="00CC6A83" w:rsidP="00CC6A8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fonlarının geçmiş dönem performanslarının,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yatırım fonunun gelecek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dönemde de getiri elde edeceği yönünde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bir garanti sağlamayabileceğinin bilincinde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olmalısınız.</w:t>
      </w:r>
      <w:r w:rsidR="00001C15" w:rsidRPr="00701560">
        <w:rPr>
          <w:sz w:val="21"/>
          <w:szCs w:val="21"/>
        </w:rPr>
        <w:t xml:space="preserve"> </w:t>
      </w:r>
    </w:p>
    <w:p w:rsidR="00001C15" w:rsidRPr="00701560" w:rsidRDefault="00001C15" w:rsidP="00CC6A83">
      <w:pPr>
        <w:spacing w:after="0" w:afterAutospacing="0"/>
        <w:rPr>
          <w:sz w:val="21"/>
          <w:szCs w:val="21"/>
        </w:rPr>
      </w:pPr>
    </w:p>
    <w:p w:rsidR="00CC6A83" w:rsidRPr="00701560" w:rsidRDefault="00CC6A83" w:rsidP="00CC6A8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fonlarının bilgilendirme dokümanları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(şemsiye fon içtüzüğü, fon </w:t>
      </w:r>
      <w:proofErr w:type="spellStart"/>
      <w:r w:rsidRPr="00701560">
        <w:rPr>
          <w:sz w:val="21"/>
          <w:szCs w:val="21"/>
        </w:rPr>
        <w:t>izahnamesi</w:t>
      </w:r>
      <w:proofErr w:type="spellEnd"/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yatırımcı bilgi formu) yatırım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kararınızı etkileyebilecek önemli bilgiler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ihtiva etmekte olup, yatırım kararı vermeden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önce fona ilişkin bilgilendirme dokümanlarını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dikkatle değerlendirmeniz ve</w:t>
      </w:r>
      <w:r w:rsidR="00001C1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gerekli görmeniz durumunda profesyonel</w:t>
      </w:r>
    </w:p>
    <w:p w:rsidR="00001C15" w:rsidRPr="00701560" w:rsidRDefault="00CC6A83" w:rsidP="00CC6A83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yardım</w:t>
      </w:r>
      <w:proofErr w:type="gramEnd"/>
      <w:r w:rsidRPr="00701560">
        <w:rPr>
          <w:sz w:val="21"/>
          <w:szCs w:val="21"/>
        </w:rPr>
        <w:t xml:space="preserve"> almanız tavsiye edilmektedir.</w:t>
      </w:r>
      <w:r w:rsidR="00001C15" w:rsidRPr="00701560">
        <w:rPr>
          <w:sz w:val="21"/>
          <w:szCs w:val="21"/>
        </w:rPr>
        <w:t xml:space="preserve"> </w:t>
      </w:r>
    </w:p>
    <w:p w:rsidR="00001C15" w:rsidRPr="00701560" w:rsidRDefault="00001C15" w:rsidP="00CC6A83">
      <w:pPr>
        <w:spacing w:after="0" w:afterAutospacing="0"/>
        <w:rPr>
          <w:sz w:val="21"/>
          <w:szCs w:val="21"/>
        </w:rPr>
      </w:pPr>
    </w:p>
    <w:p w:rsidR="00CC6A83" w:rsidRPr="00701560" w:rsidRDefault="00CC6A83" w:rsidP="00CC6A8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Bilgilendirme dokümanlarında muhtelif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zamanlarda değişiklik yapılması mümkündür.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Bilgilendirme dokümanlarında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yapılabilecek değişiklikleri takip etmenizi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tavsiye etmekle birlikte, sermaye piyasası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mevzuatı çerçevesinde yapılan değişikliklerin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Sermaye Piyasası Kurulu’nun onayına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sunulmayabileceği ve ilan yükümlülüğünden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muaf tutulabileceğinin bilincinde</w:t>
      </w:r>
      <w:r w:rsidR="0042611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olmalısınız.</w:t>
      </w:r>
    </w:p>
    <w:p w:rsidR="00426111" w:rsidRPr="00701560" w:rsidRDefault="00426111" w:rsidP="00CC6A83">
      <w:pPr>
        <w:spacing w:after="0" w:afterAutospacing="0"/>
        <w:rPr>
          <w:sz w:val="21"/>
          <w:szCs w:val="21"/>
        </w:rPr>
      </w:pPr>
    </w:p>
    <w:p w:rsidR="00CC6A83" w:rsidRPr="00701560" w:rsidRDefault="00CC6A83" w:rsidP="00CC6A8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Serbest fonların, diğer yatırım fonları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için sermaye piyasası mevzuatında öngörülen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sınırlamalara tabi olmamaları nedeniyle,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daha yüksek risk ihtiva ettiklerini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göz önünde bulundurmalısınız.</w:t>
      </w:r>
    </w:p>
    <w:p w:rsidR="00C10A76" w:rsidRPr="00701560" w:rsidRDefault="00C10A76" w:rsidP="00CC6A83">
      <w:pPr>
        <w:spacing w:after="0" w:afterAutospacing="0"/>
        <w:rPr>
          <w:sz w:val="21"/>
          <w:szCs w:val="21"/>
        </w:rPr>
      </w:pPr>
    </w:p>
    <w:p w:rsidR="004C5FE8" w:rsidRPr="00701560" w:rsidRDefault="00CC6A83" w:rsidP="00CC6A83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Çalışmayı düşündüğünüz yatırım kuruluşunun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yapacağınız işlemlere ilişkin tarafınıza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aktaracağı bilgiler ve tavsiyelerin eksik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veya doğrulanmaya muhtaç olabileceği</w:t>
      </w:r>
      <w:r w:rsidR="00C10A7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tarafınızca dikkate alınmalıdır.</w:t>
      </w:r>
    </w:p>
    <w:p w:rsidR="00C10A76" w:rsidRPr="00701560" w:rsidRDefault="00C10A76" w:rsidP="00CC6A83">
      <w:pPr>
        <w:spacing w:after="0" w:afterAutospacing="0"/>
        <w:rPr>
          <w:sz w:val="21"/>
          <w:szCs w:val="21"/>
        </w:rPr>
      </w:pP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Çalışmayı düşündüğünüz yatırım kuruluşunun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yetkili personelince yapılacak teknik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temel analizin kişiden kişiye farklılık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arz edebileceğini ve bu analizlerde yer verilen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öngörülerin gerçekleşmeme olasılığının</w:t>
      </w: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bulunduğunu</w:t>
      </w:r>
      <w:proofErr w:type="gramEnd"/>
      <w:r w:rsidRPr="00701560">
        <w:rPr>
          <w:sz w:val="21"/>
          <w:szCs w:val="21"/>
        </w:rPr>
        <w:t xml:space="preserve"> dikkate almalısınız.</w:t>
      </w: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</w:p>
    <w:p w:rsidR="00C10A76" w:rsidRPr="00701560" w:rsidRDefault="00C10A76" w:rsidP="00C10A76">
      <w:pPr>
        <w:spacing w:after="0" w:afterAutospacing="0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VI. DİĞER RİSKLER</w:t>
      </w: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Yatırım Fonlarına İlişkin Risk Bildirim Formu,</w:t>
      </w:r>
      <w:r w:rsidR="00CE5BB4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forma konu piyasa ve piyasada işlem</w:t>
      </w:r>
      <w:r w:rsidR="00CE5BB4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gören ürünlere ilişkin riskler hakkında</w:t>
      </w:r>
      <w:r w:rsidR="00395186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genel olarak bilgilendirilmenizi amaçlamakta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olup, yatırım fonu işlemlerinden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uygulamadan kaynaklanabilecek tüm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riskleri kapsamayabilir. Bu nedenle yatırım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kararı almadan önce işlem gerçekleştirmek</w:t>
      </w: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istediğiniz</w:t>
      </w:r>
      <w:proofErr w:type="gramEnd"/>
      <w:r w:rsidRPr="00701560">
        <w:rPr>
          <w:sz w:val="21"/>
          <w:szCs w:val="21"/>
        </w:rPr>
        <w:t xml:space="preserve"> yatırım fonu, fon kurucusu,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fon yöneticisi, fonun amacı, yatırım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stratejisi, riskleri ile fon bilgilendirme dokümanları</w:t>
      </w:r>
      <w:r w:rsidR="00727A01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(şemsiye fon içtüzüğü, fon </w:t>
      </w:r>
      <w:proofErr w:type="spellStart"/>
      <w:r w:rsidRPr="00701560">
        <w:rPr>
          <w:sz w:val="21"/>
          <w:szCs w:val="21"/>
        </w:rPr>
        <w:t>izahnamesi</w:t>
      </w:r>
      <w:proofErr w:type="spellEnd"/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yatırımcı bilgi formu) ile ilgili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gerekli araştırmayı yapmanızı ve profesyonel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yardım almanızı tavsiye ederiz.</w:t>
      </w:r>
    </w:p>
    <w:p w:rsidR="004E0045" w:rsidRPr="00701560" w:rsidRDefault="004E0045" w:rsidP="00C10A76">
      <w:pPr>
        <w:spacing w:after="0" w:afterAutospacing="0"/>
        <w:rPr>
          <w:sz w:val="21"/>
          <w:szCs w:val="21"/>
        </w:rPr>
      </w:pPr>
    </w:p>
    <w:p w:rsidR="00C10A76" w:rsidRPr="00701560" w:rsidRDefault="00C10A76" w:rsidP="00C10A76">
      <w:pPr>
        <w:spacing w:after="0" w:afterAutospacing="0"/>
        <w:rPr>
          <w:b/>
          <w:sz w:val="21"/>
          <w:szCs w:val="21"/>
        </w:rPr>
      </w:pPr>
      <w:r w:rsidRPr="00701560">
        <w:rPr>
          <w:b/>
          <w:sz w:val="21"/>
          <w:szCs w:val="21"/>
        </w:rPr>
        <w:t>VII. KOMİSYON, ÜCRET VE VERGİLER</w:t>
      </w: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İşlemlerinize başlamadan önce, işlemlerinizin</w:t>
      </w:r>
      <w:r w:rsidR="004E0045" w:rsidRPr="00701560">
        <w:rPr>
          <w:sz w:val="21"/>
          <w:szCs w:val="21"/>
        </w:rPr>
        <w:t xml:space="preserve"> </w:t>
      </w:r>
      <w:proofErr w:type="spellStart"/>
      <w:r w:rsidRPr="00701560">
        <w:rPr>
          <w:sz w:val="21"/>
          <w:szCs w:val="21"/>
        </w:rPr>
        <w:t>TEFAS’a</w:t>
      </w:r>
      <w:proofErr w:type="spellEnd"/>
      <w:r w:rsidRPr="00701560">
        <w:rPr>
          <w:sz w:val="21"/>
          <w:szCs w:val="21"/>
        </w:rPr>
        <w:t>, takas ve saklama kuruluşlarına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yatırım kuruluşlarına ödenecek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komisyon, ücret ve masraflara ve ilgili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mevzuatta belirlenen oranlarda vergiye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tabi tutulacağının bilincinde olmalısınız.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İşlemlerinize başlamadan önce, işlemlerinize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ilişkin komisyon, ücret ve masraflar</w:t>
      </w: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proofErr w:type="gramStart"/>
      <w:r w:rsidRPr="00701560">
        <w:rPr>
          <w:sz w:val="21"/>
          <w:szCs w:val="21"/>
        </w:rPr>
        <w:t>hakkında</w:t>
      </w:r>
      <w:proofErr w:type="gramEnd"/>
      <w:r w:rsidRPr="00701560">
        <w:rPr>
          <w:sz w:val="21"/>
          <w:szCs w:val="21"/>
        </w:rPr>
        <w:t xml:space="preserve"> Genel Sözleşme ekindeki Komisyon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Masraf tarifesini inceleyerek bilgi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edinebilirsiniz. Komisyon, ücret, masraf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ve vergilerin size nasıl yansıyacağı ile ilgili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herhangi bir sorunuz olması durumunda,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talebiniz üzerine anlaşılır örnekler içeren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yazılı bir açıklama tarafınıza sunulacaktır.</w:t>
      </w:r>
    </w:p>
    <w:p w:rsidR="004E0045" w:rsidRPr="00701560" w:rsidRDefault="004E0045" w:rsidP="00C10A76">
      <w:pPr>
        <w:spacing w:after="0" w:afterAutospacing="0"/>
        <w:rPr>
          <w:sz w:val="21"/>
          <w:szCs w:val="21"/>
        </w:rPr>
      </w:pPr>
    </w:p>
    <w:p w:rsidR="00C10A76" w:rsidRPr="00701560" w:rsidRDefault="00C10A76" w:rsidP="00C10A76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Yukarıda yer alan Yatırım Fonlarına İlişkin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Risk Bildirim </w:t>
      </w:r>
      <w:proofErr w:type="spellStart"/>
      <w:r w:rsidRPr="00701560">
        <w:rPr>
          <w:sz w:val="21"/>
          <w:szCs w:val="21"/>
        </w:rPr>
        <w:t>Formu’nu</w:t>
      </w:r>
      <w:proofErr w:type="spellEnd"/>
      <w:r w:rsidRPr="00701560">
        <w:rPr>
          <w:sz w:val="21"/>
          <w:szCs w:val="21"/>
        </w:rPr>
        <w:t>, yatırım fonu katılma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paylarına ilişkin işlemlere başlamadan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önce okudum, anladım ve işbu Yatırım</w:t>
      </w:r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Fonlarına İlişkin Risk Bildirim </w:t>
      </w:r>
      <w:proofErr w:type="spellStart"/>
      <w:r w:rsidRPr="00701560">
        <w:rPr>
          <w:sz w:val="21"/>
          <w:szCs w:val="21"/>
        </w:rPr>
        <w:t>Formu’nun</w:t>
      </w:r>
      <w:proofErr w:type="spellEnd"/>
      <w:r w:rsidR="004E0045"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bir örneğini elden teslim aldım.</w:t>
      </w:r>
    </w:p>
    <w:p w:rsidR="00701560" w:rsidRPr="00701560" w:rsidRDefault="00701560" w:rsidP="00C10A76">
      <w:pPr>
        <w:spacing w:after="0" w:afterAutospacing="0"/>
        <w:rPr>
          <w:sz w:val="21"/>
          <w:szCs w:val="21"/>
        </w:rPr>
      </w:pPr>
    </w:p>
    <w:p w:rsidR="00701560" w:rsidRPr="00701560" w:rsidRDefault="00701560" w:rsidP="00701560">
      <w:pPr>
        <w:spacing w:after="0" w:afterAutospacing="0"/>
        <w:rPr>
          <w:sz w:val="21"/>
          <w:szCs w:val="21"/>
        </w:rPr>
      </w:pPr>
      <w:r w:rsidRPr="00701560">
        <w:rPr>
          <w:sz w:val="21"/>
          <w:szCs w:val="21"/>
        </w:rPr>
        <w:t>Lütfen aşağıdaki kutucuğa el yazınız ile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 xml:space="preserve">“Okudum, anladım ve teslim aldım.” </w:t>
      </w:r>
      <w:r w:rsidRPr="00701560">
        <w:rPr>
          <w:sz w:val="21"/>
          <w:szCs w:val="21"/>
        </w:rPr>
        <w:t>Y</w:t>
      </w:r>
      <w:r w:rsidRPr="00701560">
        <w:rPr>
          <w:sz w:val="21"/>
          <w:szCs w:val="21"/>
        </w:rPr>
        <w:t>azarak</w:t>
      </w:r>
      <w:r w:rsidRPr="00701560">
        <w:rPr>
          <w:sz w:val="21"/>
          <w:szCs w:val="21"/>
        </w:rPr>
        <w:t xml:space="preserve"> </w:t>
      </w:r>
      <w:r w:rsidRPr="00701560">
        <w:rPr>
          <w:sz w:val="21"/>
          <w:szCs w:val="21"/>
        </w:rPr>
        <w:t>imzalayınız.</w:t>
      </w:r>
    </w:p>
    <w:p w:rsidR="00701560" w:rsidRPr="00701560" w:rsidRDefault="00701560" w:rsidP="00701560">
      <w:pPr>
        <w:spacing w:after="0" w:afterAutospacing="0"/>
        <w:rPr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1"/>
      </w:tblGrid>
      <w:tr w:rsidR="00701560" w:rsidRPr="00701560" w:rsidTr="00701560">
        <w:trPr>
          <w:trHeight w:val="1618"/>
        </w:trPr>
        <w:tc>
          <w:tcPr>
            <w:tcW w:w="4371" w:type="dxa"/>
          </w:tcPr>
          <w:p w:rsidR="00701560" w:rsidRPr="00701560" w:rsidRDefault="00701560" w:rsidP="00701560">
            <w:pPr>
              <w:spacing w:afterAutospacing="0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701560" w:rsidRPr="00701560" w:rsidRDefault="00701560" w:rsidP="00701560">
      <w:pPr>
        <w:spacing w:after="0" w:afterAutospacing="0"/>
        <w:rPr>
          <w:sz w:val="21"/>
          <w:szCs w:val="21"/>
        </w:rPr>
      </w:pPr>
    </w:p>
    <w:sectPr w:rsidR="00701560" w:rsidRPr="00701560" w:rsidSect="001715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4A"/>
    <w:rsid w:val="00001C15"/>
    <w:rsid w:val="000E27B6"/>
    <w:rsid w:val="000F3E33"/>
    <w:rsid w:val="00117D58"/>
    <w:rsid w:val="00171548"/>
    <w:rsid w:val="00183847"/>
    <w:rsid w:val="00395186"/>
    <w:rsid w:val="003C0A52"/>
    <w:rsid w:val="00426111"/>
    <w:rsid w:val="004C5FE8"/>
    <w:rsid w:val="004E0045"/>
    <w:rsid w:val="005132DD"/>
    <w:rsid w:val="006671CD"/>
    <w:rsid w:val="00701560"/>
    <w:rsid w:val="00727A01"/>
    <w:rsid w:val="008805B3"/>
    <w:rsid w:val="008D6943"/>
    <w:rsid w:val="008E226C"/>
    <w:rsid w:val="0095364A"/>
    <w:rsid w:val="00AB1C0A"/>
    <w:rsid w:val="00C10A76"/>
    <w:rsid w:val="00CC6A83"/>
    <w:rsid w:val="00CE5BB4"/>
    <w:rsid w:val="00F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27B5"/>
  <w15:chartTrackingRefBased/>
  <w15:docId w15:val="{740E8C34-B709-4629-9773-BE04A96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0A5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015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pb.org.tr" TargetMode="External"/><Relationship Id="rId5" Type="http://schemas.openxmlformats.org/officeDocument/2006/relationships/hyperlink" Target="http://www.borsaistanbul.com" TargetMode="External"/><Relationship Id="rId4" Type="http://schemas.openxmlformats.org/officeDocument/2006/relationships/hyperlink" Target="http://www.sp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Ustaoğlu</dc:creator>
  <cp:keywords/>
  <dc:description/>
  <cp:lastModifiedBy>Banu Ustaoğlu</cp:lastModifiedBy>
  <cp:revision>16</cp:revision>
  <dcterms:created xsi:type="dcterms:W3CDTF">2024-05-22T08:39:00Z</dcterms:created>
  <dcterms:modified xsi:type="dcterms:W3CDTF">2024-05-22T11:21:00Z</dcterms:modified>
</cp:coreProperties>
</file>