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center"/>
        <w:rPr>
          <w:rFonts w:cstheme="minorHAnsi"/>
          <w:b/>
          <w:bCs/>
          <w:sz w:val="26"/>
          <w:szCs w:val="44"/>
        </w:rPr>
      </w:pPr>
      <w:r w:rsidRPr="00784412">
        <w:rPr>
          <w:rFonts w:cstheme="minorHAnsi"/>
          <w:b/>
          <w:bCs/>
          <w:sz w:val="26"/>
          <w:szCs w:val="44"/>
        </w:rPr>
        <w:t>ÖZEL SEKTÖR BORÇLANMA ARAÇLARINA</w:t>
      </w:r>
    </w:p>
    <w:p w:rsidR="008E226C" w:rsidRPr="00784412" w:rsidRDefault="00784412" w:rsidP="00784412">
      <w:pPr>
        <w:jc w:val="center"/>
        <w:rPr>
          <w:rFonts w:cstheme="minorHAnsi"/>
          <w:b/>
          <w:bCs/>
          <w:sz w:val="26"/>
          <w:szCs w:val="44"/>
        </w:rPr>
      </w:pPr>
      <w:r w:rsidRPr="00784412">
        <w:rPr>
          <w:rFonts w:cstheme="minorHAnsi"/>
          <w:b/>
          <w:bCs/>
          <w:sz w:val="26"/>
          <w:szCs w:val="44"/>
        </w:rPr>
        <w:t>İLİŞKİN RİSK BİLDİRİM FORMU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 w:val="20"/>
        </w:rPr>
      </w:pPr>
      <w:r w:rsidRPr="00784412">
        <w:rPr>
          <w:rFonts w:cstheme="minorHAnsi"/>
          <w:b/>
          <w:bCs/>
          <w:sz w:val="20"/>
        </w:rPr>
        <w:t>I. ÖNEMLİ AÇIKLAMA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color w:val="000000"/>
        </w:rPr>
      </w:pPr>
      <w:r w:rsidRPr="00784412">
        <w:rPr>
          <w:rFonts w:cstheme="minorHAnsi"/>
          <w:color w:val="000000"/>
        </w:rPr>
        <w:t>Özel sektör borçlanma araçları alım satım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işlemleri sonucunda kar elde edebileceğiniz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gibi zarar riskiniz de bulunmaktadır.</w:t>
      </w:r>
      <w:r w:rsidR="00671F3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Bu nedenle, işlem yapmaya karar vermeden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 xml:space="preserve">önce, piyasada </w:t>
      </w:r>
      <w:r w:rsidRPr="00784412">
        <w:rPr>
          <w:rFonts w:cstheme="minorHAnsi"/>
          <w:color w:val="000000"/>
        </w:rPr>
        <w:t>k</w:t>
      </w:r>
      <w:r w:rsidRPr="00784412">
        <w:rPr>
          <w:rFonts w:cstheme="minorHAnsi"/>
          <w:color w:val="000000"/>
        </w:rPr>
        <w:t>arşılaşabileceğiniz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riskleri anlamanız, mali durumunuzu ve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kısıtlarınızı dikkate alarak karar vermeniz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gerekmektedir.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 xml:space="preserve">Bu amaçla, III-39.1 sayılı </w:t>
      </w:r>
      <w:r w:rsidRPr="00784412">
        <w:rPr>
          <w:rFonts w:cstheme="minorHAnsi"/>
          <w:i/>
          <w:iCs/>
          <w:color w:val="000000"/>
        </w:rPr>
        <w:t>Yatırım Kuruluşlarının</w:t>
      </w:r>
      <w:r w:rsidRPr="00784412">
        <w:rPr>
          <w:rFonts w:cstheme="minorHAnsi"/>
          <w:i/>
          <w:iCs/>
          <w:color w:val="000000"/>
        </w:rPr>
        <w:t xml:space="preserve"> </w:t>
      </w:r>
      <w:r w:rsidRPr="00784412">
        <w:rPr>
          <w:rFonts w:cstheme="minorHAnsi"/>
          <w:i/>
          <w:iCs/>
          <w:color w:val="000000"/>
        </w:rPr>
        <w:t>Kuruluş ve Faaliyet Esasları Hakkında</w:t>
      </w:r>
      <w:r w:rsidRPr="00784412">
        <w:rPr>
          <w:rFonts w:cstheme="minorHAnsi"/>
          <w:i/>
          <w:iCs/>
          <w:color w:val="000000"/>
        </w:rPr>
        <w:t xml:space="preserve"> </w:t>
      </w:r>
      <w:r w:rsidRPr="00784412">
        <w:rPr>
          <w:rFonts w:cstheme="minorHAnsi"/>
          <w:i/>
          <w:iCs/>
          <w:color w:val="000000"/>
        </w:rPr>
        <w:t>Tebliğ</w:t>
      </w:r>
      <w:r w:rsidRPr="00784412">
        <w:rPr>
          <w:rFonts w:cstheme="minorHAnsi"/>
          <w:color w:val="000000"/>
        </w:rPr>
        <w:t>’in (Tebliğ) 25 inci maddesi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 xml:space="preserve">uyarınca işbu </w:t>
      </w:r>
      <w:r w:rsidRPr="00784412">
        <w:rPr>
          <w:rFonts w:cstheme="minorHAnsi"/>
          <w:i/>
          <w:iCs/>
          <w:color w:val="000000"/>
        </w:rPr>
        <w:t>Özel Sektör Borçlanma Araçlarına</w:t>
      </w:r>
      <w:r w:rsidRPr="00784412">
        <w:rPr>
          <w:rFonts w:cstheme="minorHAnsi"/>
          <w:i/>
          <w:iCs/>
          <w:color w:val="000000"/>
        </w:rPr>
        <w:t xml:space="preserve"> </w:t>
      </w:r>
      <w:r w:rsidRPr="00784412">
        <w:rPr>
          <w:rFonts w:cstheme="minorHAnsi"/>
          <w:i/>
          <w:iCs/>
          <w:color w:val="000000"/>
        </w:rPr>
        <w:t xml:space="preserve">İlişkin Risk Bildirim </w:t>
      </w:r>
      <w:proofErr w:type="spellStart"/>
      <w:r w:rsidRPr="00784412">
        <w:rPr>
          <w:rFonts w:cstheme="minorHAnsi"/>
          <w:i/>
          <w:iCs/>
          <w:color w:val="000000"/>
        </w:rPr>
        <w:t>Formu</w:t>
      </w:r>
      <w:r w:rsidRPr="00784412">
        <w:rPr>
          <w:rFonts w:cstheme="minorHAnsi"/>
          <w:color w:val="000000"/>
        </w:rPr>
        <w:t>’nu</w:t>
      </w:r>
      <w:proofErr w:type="spellEnd"/>
      <w:r w:rsidRPr="00784412">
        <w:rPr>
          <w:rFonts w:cstheme="minorHAnsi"/>
          <w:color w:val="000000"/>
        </w:rPr>
        <w:t xml:space="preserve"> okuyarak</w:t>
      </w:r>
      <w:r w:rsidRPr="00784412">
        <w:rPr>
          <w:rFonts w:cstheme="minorHAnsi"/>
          <w:color w:val="000000"/>
        </w:rPr>
        <w:t xml:space="preserve"> </w:t>
      </w:r>
      <w:r w:rsidRPr="00784412">
        <w:rPr>
          <w:rFonts w:cstheme="minorHAnsi"/>
          <w:color w:val="000000"/>
        </w:rPr>
        <w:t>anlamanız gerekmektedir.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color w:val="000000"/>
        </w:rPr>
      </w:pP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784412">
        <w:rPr>
          <w:rFonts w:cstheme="minorHAnsi"/>
          <w:b/>
          <w:bCs/>
          <w:szCs w:val="44"/>
        </w:rPr>
        <w:t>II. UYARI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784412">
        <w:rPr>
          <w:rFonts w:cstheme="minorHAnsi"/>
          <w:bCs/>
          <w:szCs w:val="44"/>
        </w:rPr>
        <w:t>İşlem yapmaya başlamadan önce çalışmayı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düşündüğünüz kuruluşun ilgili alım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 xml:space="preserve">satım aracılığı yetki </w:t>
      </w:r>
      <w:r>
        <w:rPr>
          <w:rFonts w:cstheme="minorHAnsi"/>
          <w:bCs/>
          <w:szCs w:val="44"/>
        </w:rPr>
        <w:t>b</w:t>
      </w:r>
      <w:r w:rsidRPr="00784412">
        <w:rPr>
          <w:rFonts w:cstheme="minorHAnsi"/>
          <w:bCs/>
          <w:szCs w:val="44"/>
        </w:rPr>
        <w:t>elgelerine ve Borsa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İstanbul A.Ş. Üyelik Belgesine sahip olup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olmadığını kontrol ediniz. Bu belgelere</w:t>
      </w:r>
    </w:p>
    <w:p w:rsid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784412">
        <w:rPr>
          <w:rFonts w:cstheme="minorHAnsi"/>
          <w:bCs/>
          <w:szCs w:val="44"/>
        </w:rPr>
        <w:t>sahip</w:t>
      </w:r>
      <w:proofErr w:type="gramEnd"/>
      <w:r w:rsidRPr="00784412">
        <w:rPr>
          <w:rFonts w:cstheme="minorHAnsi"/>
          <w:bCs/>
          <w:szCs w:val="44"/>
        </w:rPr>
        <w:t xml:space="preserve"> yatırım kuruluşlarını </w:t>
      </w:r>
      <w:hyperlink r:id="rId4" w:history="1">
        <w:r w:rsidRPr="009C5896">
          <w:rPr>
            <w:rStyle w:val="Kpr"/>
            <w:rFonts w:cstheme="minorHAnsi"/>
            <w:bCs/>
            <w:szCs w:val="44"/>
          </w:rPr>
          <w:t>www.spk.gov.tr</w:t>
        </w:r>
      </w:hyperlink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 xml:space="preserve"> </w:t>
      </w:r>
      <w:r>
        <w:rPr>
          <w:rFonts w:cstheme="minorHAnsi"/>
          <w:bCs/>
          <w:szCs w:val="44"/>
        </w:rPr>
        <w:t xml:space="preserve"> </w:t>
      </w:r>
      <w:hyperlink r:id="rId5" w:history="1">
        <w:r w:rsidRPr="009C5896">
          <w:rPr>
            <w:rStyle w:val="Kpr"/>
            <w:rFonts w:cstheme="minorHAnsi"/>
            <w:bCs/>
            <w:szCs w:val="44"/>
          </w:rPr>
          <w:t>www.borsaistanbul.com</w:t>
        </w:r>
      </w:hyperlink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 xml:space="preserve"> </w:t>
      </w:r>
      <w:hyperlink r:id="rId6" w:history="1">
        <w:r w:rsidRPr="009C5896">
          <w:rPr>
            <w:rStyle w:val="Kpr"/>
            <w:rFonts w:cstheme="minorHAnsi"/>
            <w:bCs/>
            <w:szCs w:val="44"/>
          </w:rPr>
          <w:t>www.tspb.org.tr</w:t>
        </w:r>
      </w:hyperlink>
      <w:r>
        <w:rPr>
          <w:rFonts w:cstheme="minorHAnsi"/>
          <w:bCs/>
          <w:szCs w:val="44"/>
        </w:rPr>
        <w:t xml:space="preserve">   </w:t>
      </w:r>
      <w:r w:rsidRPr="00784412">
        <w:rPr>
          <w:rFonts w:cstheme="minorHAnsi"/>
          <w:bCs/>
          <w:szCs w:val="44"/>
        </w:rPr>
        <w:t>internet sitelerinden veya diğer iletişim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araçları vasıtasıyla öğrenebilirsiniz.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784412">
        <w:rPr>
          <w:rFonts w:cstheme="minorHAnsi"/>
          <w:b/>
          <w:bCs/>
          <w:szCs w:val="44"/>
        </w:rPr>
        <w:t>III. GENEL BİLGİLENDİRME</w:t>
      </w:r>
    </w:p>
    <w:p w:rsidR="00784412" w:rsidRP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784412">
        <w:rPr>
          <w:rFonts w:cstheme="minorHAnsi"/>
          <w:bCs/>
          <w:szCs w:val="44"/>
        </w:rPr>
        <w:t>Özel sektör borçlanma araçları, ilgili sermaye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piyasası mevzuatına göre ihraççıların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 xml:space="preserve">borçlu sıfatıyla </w:t>
      </w:r>
      <w:r>
        <w:rPr>
          <w:rFonts w:cstheme="minorHAnsi"/>
          <w:bCs/>
          <w:szCs w:val="44"/>
        </w:rPr>
        <w:t>d</w:t>
      </w:r>
      <w:r w:rsidRPr="00784412">
        <w:rPr>
          <w:rFonts w:cstheme="minorHAnsi"/>
          <w:bCs/>
          <w:szCs w:val="44"/>
        </w:rPr>
        <w:t>üzenleyerek ihraç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ettikleri tahvilleri, paya dönüştürülebilir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tahvilleri, değiştirilebilir tahvilleri, bonoları,</w:t>
      </w:r>
    </w:p>
    <w:p w:rsid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784412">
        <w:rPr>
          <w:rFonts w:cstheme="minorHAnsi"/>
          <w:bCs/>
          <w:szCs w:val="44"/>
        </w:rPr>
        <w:t>kıymetli</w:t>
      </w:r>
      <w:proofErr w:type="gramEnd"/>
      <w:r w:rsidRPr="00784412">
        <w:rPr>
          <w:rFonts w:cstheme="minorHAnsi"/>
          <w:bCs/>
          <w:szCs w:val="44"/>
        </w:rPr>
        <w:t xml:space="preserve"> maden bonolarını, </w:t>
      </w:r>
      <w:proofErr w:type="spellStart"/>
      <w:r w:rsidRPr="00784412">
        <w:rPr>
          <w:rFonts w:cstheme="minorHAnsi"/>
          <w:bCs/>
          <w:szCs w:val="44"/>
        </w:rPr>
        <w:t>euro-bondları</w:t>
      </w:r>
      <w:proofErr w:type="spellEnd"/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ve sermaye piyasası mevzuatı çerçevesinde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niteliği itibari ile özel sektör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borçlanma aracı olduğu Sermaye Piyasası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Kurulu tarafından kabul edilecek diğer sermaye</w:t>
      </w:r>
      <w:r>
        <w:rPr>
          <w:rFonts w:cstheme="minorHAnsi"/>
          <w:bCs/>
          <w:szCs w:val="44"/>
        </w:rPr>
        <w:t xml:space="preserve"> </w:t>
      </w:r>
      <w:r w:rsidRPr="00784412">
        <w:rPr>
          <w:rFonts w:cstheme="minorHAnsi"/>
          <w:bCs/>
          <w:szCs w:val="44"/>
        </w:rPr>
        <w:t>piyasası araçlarını ifade eder.</w:t>
      </w:r>
    </w:p>
    <w:p w:rsidR="00784412" w:rsidRDefault="00784412" w:rsidP="0078441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937183">
        <w:rPr>
          <w:rFonts w:cstheme="minorHAnsi"/>
          <w:bCs/>
          <w:szCs w:val="44"/>
        </w:rPr>
        <w:t>İşlem gerçekleştirmeden önce ihtiyaçlarınıza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uygun borçlanma aracı, ihraççı, piyasa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 xml:space="preserve">ve pazarları </w:t>
      </w:r>
      <w:r>
        <w:rPr>
          <w:rFonts w:cstheme="minorHAnsi"/>
          <w:bCs/>
          <w:szCs w:val="44"/>
        </w:rPr>
        <w:t>b</w:t>
      </w:r>
      <w:r w:rsidRPr="00937183">
        <w:rPr>
          <w:rFonts w:cstheme="minorHAnsi"/>
          <w:bCs/>
          <w:szCs w:val="44"/>
        </w:rPr>
        <w:t>elirleyerek, ilişkili riskleri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tespit etmenizi, gerekli görebileceğiniz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araştırma ve incelemeyi gerçekleştirmenizi</w:t>
      </w:r>
    </w:p>
    <w:p w:rsid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937183">
        <w:rPr>
          <w:rFonts w:cstheme="minorHAnsi"/>
          <w:bCs/>
          <w:szCs w:val="44"/>
        </w:rPr>
        <w:t>ve</w:t>
      </w:r>
      <w:proofErr w:type="gramEnd"/>
      <w:r w:rsidRPr="00937183">
        <w:rPr>
          <w:rFonts w:cstheme="minorHAnsi"/>
          <w:bCs/>
          <w:szCs w:val="44"/>
        </w:rPr>
        <w:t xml:space="preserve"> yatırım kararlarınızı bu çerçevede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vermenizi tavsiye etmekteyiz.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 xml:space="preserve">Bazı özel sektör borçlanma araçlarına </w:t>
      </w:r>
      <w:r>
        <w:rPr>
          <w:rFonts w:cstheme="minorHAnsi"/>
          <w:bCs/>
          <w:szCs w:val="44"/>
        </w:rPr>
        <w:t>d</w:t>
      </w:r>
      <w:r w:rsidRPr="00937183">
        <w:rPr>
          <w:rFonts w:cstheme="minorHAnsi"/>
          <w:bCs/>
          <w:szCs w:val="44"/>
        </w:rPr>
        <w:t>air</w:t>
      </w:r>
      <w:r>
        <w:rPr>
          <w:rFonts w:cstheme="minorHAnsi"/>
          <w:bCs/>
          <w:szCs w:val="44"/>
        </w:rPr>
        <w:t xml:space="preserve"> genel bilgilere </w:t>
      </w:r>
      <w:r w:rsidRPr="00937183">
        <w:rPr>
          <w:rFonts w:cstheme="minorHAnsi"/>
          <w:bCs/>
          <w:szCs w:val="44"/>
        </w:rPr>
        <w:t>aşağıda yer verilmektedir.</w:t>
      </w: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937183">
        <w:rPr>
          <w:rFonts w:cstheme="minorHAnsi"/>
          <w:b/>
          <w:bCs/>
          <w:szCs w:val="44"/>
        </w:rPr>
        <w:t>Bono</w:t>
      </w:r>
    </w:p>
    <w:p w:rsid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937183">
        <w:rPr>
          <w:rFonts w:cstheme="minorHAnsi"/>
          <w:bCs/>
          <w:szCs w:val="44"/>
        </w:rPr>
        <w:t>İhraççıların sermaye piyasası mevzuatı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hükümlerine göre borçlu sıfatıyla düzenleyip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 xml:space="preserve">sattığı ve </w:t>
      </w:r>
      <w:proofErr w:type="gramStart"/>
      <w:r w:rsidRPr="00937183">
        <w:rPr>
          <w:rFonts w:cstheme="minorHAnsi"/>
          <w:bCs/>
          <w:szCs w:val="44"/>
        </w:rPr>
        <w:t>nominal</w:t>
      </w:r>
      <w:proofErr w:type="gramEnd"/>
      <w:r w:rsidRPr="00937183">
        <w:rPr>
          <w:rFonts w:cstheme="minorHAnsi"/>
          <w:bCs/>
          <w:szCs w:val="44"/>
        </w:rPr>
        <w:t xml:space="preserve"> değerinin vade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tarihinde yatırımcıya geri ödenmesi taahhüdünü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içeren, vadesi 30 günden az 364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günden fazla olmayan borçlanma aracını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ifade eder.</w:t>
      </w: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proofErr w:type="spellStart"/>
      <w:r w:rsidRPr="00937183">
        <w:rPr>
          <w:rFonts w:cstheme="minorHAnsi"/>
          <w:b/>
          <w:bCs/>
          <w:szCs w:val="44"/>
        </w:rPr>
        <w:t>Eurobond</w:t>
      </w:r>
      <w:proofErr w:type="spellEnd"/>
    </w:p>
    <w:p w:rsid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937183">
        <w:rPr>
          <w:rFonts w:cstheme="minorHAnsi"/>
          <w:bCs/>
          <w:szCs w:val="44"/>
        </w:rPr>
        <w:t>İhraççıların kendi ülkeleri dışında kaynak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sağlamak amacıyla uluslararası piyasalarda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yabancı para birimleri üzerinden satışa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sundukları genelde orta ve uzun vadeli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borçlanma aracını ifade eder.</w:t>
      </w: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937183">
        <w:rPr>
          <w:rFonts w:cstheme="minorHAnsi"/>
          <w:b/>
          <w:bCs/>
          <w:szCs w:val="44"/>
        </w:rPr>
        <w:t>Tahvil</w:t>
      </w:r>
    </w:p>
    <w:p w:rsidR="00937183" w:rsidRPr="00937183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937183">
        <w:rPr>
          <w:rFonts w:cstheme="minorHAnsi"/>
          <w:bCs/>
          <w:szCs w:val="44"/>
        </w:rPr>
        <w:t>İhraççıların sermaye piyasası mevzuatı hükümlerine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göre borçlu sıfatıyla düzenleyip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 xml:space="preserve">sattığı ve </w:t>
      </w:r>
      <w:proofErr w:type="gramStart"/>
      <w:r w:rsidRPr="00937183">
        <w:rPr>
          <w:rFonts w:cstheme="minorHAnsi"/>
          <w:bCs/>
          <w:szCs w:val="44"/>
        </w:rPr>
        <w:t>nominal</w:t>
      </w:r>
      <w:proofErr w:type="gramEnd"/>
      <w:r w:rsidRPr="00937183">
        <w:rPr>
          <w:rFonts w:cstheme="minorHAnsi"/>
          <w:bCs/>
          <w:szCs w:val="44"/>
        </w:rPr>
        <w:t xml:space="preserve"> değerinin vade tarihinde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yatırımcıya geri ödenmesi taahhüdünü</w:t>
      </w:r>
      <w:r>
        <w:rPr>
          <w:rFonts w:cstheme="minorHAnsi"/>
          <w:bCs/>
          <w:szCs w:val="44"/>
        </w:rPr>
        <w:t xml:space="preserve"> </w:t>
      </w:r>
      <w:r w:rsidRPr="00937183">
        <w:rPr>
          <w:rFonts w:cstheme="minorHAnsi"/>
          <w:bCs/>
          <w:szCs w:val="44"/>
        </w:rPr>
        <w:t>içeren, vadesi 365 gün veya daha uzun</w:t>
      </w:r>
    </w:p>
    <w:p w:rsidR="00784412" w:rsidRDefault="00937183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937183">
        <w:rPr>
          <w:rFonts w:cstheme="minorHAnsi"/>
          <w:bCs/>
          <w:szCs w:val="44"/>
        </w:rPr>
        <w:t>olan</w:t>
      </w:r>
      <w:proofErr w:type="gramEnd"/>
      <w:r w:rsidRPr="00937183">
        <w:rPr>
          <w:rFonts w:cstheme="minorHAnsi"/>
          <w:bCs/>
          <w:szCs w:val="44"/>
        </w:rPr>
        <w:t xml:space="preserve"> borçlanma aracını ifade eder.</w:t>
      </w:r>
    </w:p>
    <w:p w:rsidR="00504318" w:rsidRDefault="00504318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504318" w:rsidRDefault="00504318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504318">
        <w:rPr>
          <w:rFonts w:cstheme="minorHAnsi"/>
          <w:b/>
          <w:bCs/>
          <w:szCs w:val="44"/>
        </w:rPr>
        <w:t>Finansman Bonosu</w:t>
      </w:r>
      <w:r>
        <w:rPr>
          <w:rFonts w:cstheme="minorHAnsi"/>
          <w:bCs/>
          <w:szCs w:val="44"/>
        </w:rPr>
        <w:t xml:space="preserve"> </w:t>
      </w:r>
      <w:r w:rsidRPr="00504318">
        <w:rPr>
          <w:rFonts w:cstheme="minorHAnsi"/>
          <w:bCs/>
          <w:szCs w:val="44"/>
        </w:rPr>
        <w:t xml:space="preserve"> </w:t>
      </w:r>
    </w:p>
    <w:p w:rsidR="00504318" w:rsidRDefault="00504318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504318">
        <w:rPr>
          <w:rFonts w:cstheme="minorHAnsi"/>
          <w:bCs/>
          <w:szCs w:val="44"/>
        </w:rPr>
        <w:t>Genellikle büyük firmalar, bankalar ve finans kuruluşları tarafından basılıp ihraç edilen ve işletmelerin kısa vadeli finansman ihtiyaçlarını karşılamak amacıyla çıkarılan borç senetleridir. Geri ödeme süreleri 9 ayı geçemez</w:t>
      </w:r>
    </w:p>
    <w:p w:rsidR="00B836EF" w:rsidRDefault="00B836EF" w:rsidP="00937183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B836EF">
        <w:rPr>
          <w:rFonts w:cstheme="minorHAnsi"/>
          <w:b/>
          <w:bCs/>
          <w:szCs w:val="44"/>
        </w:rPr>
        <w:t>IV. İKİNCİL PİYASAYA İLİŞKİN</w:t>
      </w:r>
      <w:r>
        <w:rPr>
          <w:rFonts w:cstheme="minorHAnsi"/>
          <w:b/>
          <w:bCs/>
          <w:szCs w:val="44"/>
        </w:rPr>
        <w:t xml:space="preserve"> </w:t>
      </w:r>
      <w:r w:rsidRPr="00B836EF">
        <w:rPr>
          <w:rFonts w:cstheme="minorHAnsi"/>
          <w:b/>
          <w:bCs/>
          <w:szCs w:val="44"/>
        </w:rPr>
        <w:t>BİLGİLENDİRME</w:t>
      </w: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B836EF">
        <w:rPr>
          <w:rFonts w:cstheme="minorHAnsi"/>
          <w:bCs/>
          <w:szCs w:val="44"/>
        </w:rPr>
        <w:t>Özel sektör borçlanma araçlarının genellikle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ikincil piyasası bulunmaktadır, ancak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ikincil piyasada işlem hacmi yüksek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olmayabilir. Türkiye’de ihraç edilen özel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sektör borçlanma araçlarının ikincil piyasa</w:t>
      </w: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B836EF">
        <w:rPr>
          <w:rFonts w:cstheme="minorHAnsi"/>
          <w:bCs/>
          <w:szCs w:val="44"/>
        </w:rPr>
        <w:lastRenderedPageBreak/>
        <w:t>olarak</w:t>
      </w:r>
      <w:proofErr w:type="gramEnd"/>
      <w:r w:rsidRPr="00B836EF">
        <w:rPr>
          <w:rFonts w:cstheme="minorHAnsi"/>
          <w:bCs/>
          <w:szCs w:val="44"/>
        </w:rPr>
        <w:t xml:space="preserve"> Borsa İstanbul A.Ş. Borçlanma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Araçları Piyasası’nda (“Borçlanma Araçları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Piyasası”) veya borsa dışında alım satımı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mümkündür. Yurt dışında ihraç edilen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 xml:space="preserve">özel sektör borçlanma araçlarının da </w:t>
      </w:r>
      <w:proofErr w:type="spellStart"/>
      <w:r w:rsidRPr="00B836EF">
        <w:rPr>
          <w:rFonts w:cstheme="minorHAnsi"/>
          <w:bCs/>
          <w:szCs w:val="44"/>
        </w:rPr>
        <w:t>kote</w:t>
      </w:r>
      <w:proofErr w:type="spellEnd"/>
    </w:p>
    <w:p w:rsid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B836EF">
        <w:rPr>
          <w:rFonts w:cstheme="minorHAnsi"/>
          <w:bCs/>
          <w:szCs w:val="44"/>
        </w:rPr>
        <w:t>edildiği</w:t>
      </w:r>
      <w:proofErr w:type="gramEnd"/>
      <w:r w:rsidRPr="00B836EF">
        <w:rPr>
          <w:rFonts w:cstheme="minorHAnsi"/>
          <w:bCs/>
          <w:szCs w:val="44"/>
        </w:rPr>
        <w:t xml:space="preserve"> borsada veya borsa dışında alım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satımı mümkündür.</w:t>
      </w: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bookmarkStart w:id="0" w:name="_GoBack"/>
      <w:bookmarkEnd w:id="0"/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B836EF">
        <w:rPr>
          <w:rFonts w:cstheme="minorHAnsi"/>
          <w:b/>
          <w:bCs/>
          <w:szCs w:val="44"/>
        </w:rPr>
        <w:t>V. RİSK BİLDİRİMİ</w:t>
      </w: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i/>
          <w:iCs/>
          <w:szCs w:val="44"/>
        </w:rPr>
      </w:pPr>
      <w:r w:rsidRPr="00B836EF">
        <w:rPr>
          <w:rFonts w:cstheme="minorHAnsi"/>
          <w:bCs/>
          <w:szCs w:val="44"/>
        </w:rPr>
        <w:t>İşlem yapacağınız yatırım kuruluşu ile akdettiğiniz/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 xml:space="preserve">akdedeceğiniz </w:t>
      </w:r>
      <w:r w:rsidRPr="00B836EF">
        <w:rPr>
          <w:rFonts w:cstheme="minorHAnsi"/>
          <w:bCs/>
          <w:i/>
          <w:iCs/>
          <w:szCs w:val="44"/>
        </w:rPr>
        <w:t>Sermaye Piyasası</w:t>
      </w:r>
      <w:r>
        <w:rPr>
          <w:rFonts w:cstheme="minorHAnsi"/>
          <w:bCs/>
          <w:i/>
          <w:iCs/>
          <w:szCs w:val="44"/>
        </w:rPr>
        <w:t xml:space="preserve"> </w:t>
      </w:r>
      <w:r w:rsidRPr="00B836EF">
        <w:rPr>
          <w:rFonts w:cstheme="minorHAnsi"/>
          <w:bCs/>
          <w:i/>
          <w:iCs/>
          <w:szCs w:val="44"/>
        </w:rPr>
        <w:t>Faaliyetleri Çerçeve Sözleşmeleri Genel</w:t>
      </w:r>
      <w:r>
        <w:rPr>
          <w:rFonts w:cstheme="minorHAnsi"/>
          <w:bCs/>
          <w:i/>
          <w:iCs/>
          <w:szCs w:val="44"/>
        </w:rPr>
        <w:t xml:space="preserve"> </w:t>
      </w:r>
      <w:r w:rsidRPr="00B836EF">
        <w:rPr>
          <w:rFonts w:cstheme="minorHAnsi"/>
          <w:bCs/>
          <w:i/>
          <w:iCs/>
          <w:szCs w:val="44"/>
        </w:rPr>
        <w:t xml:space="preserve">Hüküm ve Şartları </w:t>
      </w:r>
      <w:r w:rsidRPr="00B836EF">
        <w:rPr>
          <w:rFonts w:cstheme="minorHAnsi"/>
          <w:bCs/>
          <w:szCs w:val="44"/>
        </w:rPr>
        <w:t>(“Genel Sözleşme”) ile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 xml:space="preserve">Genel Sözleşme’nin ekinde yer alan </w:t>
      </w:r>
      <w:r w:rsidRPr="00B836EF">
        <w:rPr>
          <w:rFonts w:cstheme="minorHAnsi"/>
          <w:bCs/>
          <w:i/>
          <w:iCs/>
          <w:szCs w:val="44"/>
        </w:rPr>
        <w:t>Yatırım</w:t>
      </w:r>
    </w:p>
    <w:p w:rsid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B836EF">
        <w:rPr>
          <w:rFonts w:cstheme="minorHAnsi"/>
          <w:bCs/>
          <w:i/>
          <w:iCs/>
          <w:szCs w:val="44"/>
        </w:rPr>
        <w:t>Hizmet ve Faaliyetleri Genel Risk Bildirim</w:t>
      </w:r>
      <w:r>
        <w:rPr>
          <w:rFonts w:cstheme="minorHAnsi"/>
          <w:bCs/>
          <w:i/>
          <w:iCs/>
          <w:szCs w:val="44"/>
        </w:rPr>
        <w:t xml:space="preserve"> </w:t>
      </w:r>
      <w:proofErr w:type="spellStart"/>
      <w:r w:rsidRPr="00B836EF">
        <w:rPr>
          <w:rFonts w:cstheme="minorHAnsi"/>
          <w:bCs/>
          <w:i/>
          <w:iCs/>
          <w:szCs w:val="44"/>
        </w:rPr>
        <w:t>Formu</w:t>
      </w:r>
      <w:r w:rsidRPr="00B836EF">
        <w:rPr>
          <w:rFonts w:cstheme="minorHAnsi"/>
          <w:bCs/>
          <w:szCs w:val="44"/>
        </w:rPr>
        <w:t>’nda</w:t>
      </w:r>
      <w:proofErr w:type="spellEnd"/>
      <w:r w:rsidRPr="00B836EF">
        <w:rPr>
          <w:rFonts w:cstheme="minorHAnsi"/>
          <w:bCs/>
          <w:szCs w:val="44"/>
        </w:rPr>
        <w:t xml:space="preserve"> belirtilen hususlara ek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olarak, özel sektör borçlanma araçlarının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ilişkili olduğu bazı risklere aşağıda yer verilmektedir:</w:t>
      </w: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B836EF" w:rsidRP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B836EF">
        <w:rPr>
          <w:rFonts w:cstheme="minorHAnsi"/>
          <w:bCs/>
          <w:szCs w:val="44"/>
        </w:rPr>
        <w:t>Çalışmayı düşündüğünüz yatırım kuruluşu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nezdinde açtıracağınız hesap ve bu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 xml:space="preserve">hesap üzerinden </w:t>
      </w:r>
      <w:r>
        <w:rPr>
          <w:rFonts w:cstheme="minorHAnsi"/>
          <w:bCs/>
          <w:szCs w:val="44"/>
        </w:rPr>
        <w:t>g</w:t>
      </w:r>
      <w:r w:rsidRPr="00B836EF">
        <w:rPr>
          <w:rFonts w:cstheme="minorHAnsi"/>
          <w:bCs/>
          <w:szCs w:val="44"/>
        </w:rPr>
        <w:t>erçekleştirilecek tüm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işlemler Sermaye Piyasası Kurulu, Borsa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İstanbul A.Ş</w:t>
      </w:r>
      <w:proofErr w:type="gramStart"/>
      <w:r w:rsidRPr="00B836EF">
        <w:rPr>
          <w:rFonts w:cstheme="minorHAnsi"/>
          <w:bCs/>
          <w:szCs w:val="44"/>
        </w:rPr>
        <w:t>.,</w:t>
      </w:r>
      <w:proofErr w:type="gramEnd"/>
      <w:r w:rsidRPr="00B836EF">
        <w:rPr>
          <w:rFonts w:cstheme="minorHAnsi"/>
          <w:bCs/>
          <w:szCs w:val="44"/>
        </w:rPr>
        <w:t xml:space="preserve"> merkezi kayıt kuruluşları ile</w:t>
      </w:r>
    </w:p>
    <w:p w:rsid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B836EF">
        <w:rPr>
          <w:rFonts w:cstheme="minorHAnsi"/>
          <w:bCs/>
          <w:szCs w:val="44"/>
        </w:rPr>
        <w:t>takas</w:t>
      </w:r>
      <w:proofErr w:type="gramEnd"/>
      <w:r w:rsidRPr="00B836EF">
        <w:rPr>
          <w:rFonts w:cstheme="minorHAnsi"/>
          <w:bCs/>
          <w:szCs w:val="44"/>
        </w:rPr>
        <w:t xml:space="preserve"> ve saklama merkezleri tarafından</w:t>
      </w:r>
      <w:r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çıkartılan ilgili her türlü mevzuat, karar ve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benzeri düzenlemelere tabidir. Mevzuat,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düzenleme ve uygulamalarda zaman zaman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değişiklik yapılması mümkün olup,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meydana gelebilecek değişiklikleri takip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etmeniz önem arz etmektedir.</w:t>
      </w:r>
    </w:p>
    <w:p w:rsidR="00865516" w:rsidRPr="00B836EF" w:rsidRDefault="00865516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B836EF" w:rsidRDefault="00B836EF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B836EF">
        <w:rPr>
          <w:rFonts w:cstheme="minorHAnsi"/>
          <w:bCs/>
          <w:szCs w:val="44"/>
        </w:rPr>
        <w:t>Özel sektör borçlanma araçları, çeşitli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tür ve oranlarda risklere tabidir. Anapara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veya faizin elde edileceğine dair bir garanti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bulunmamaktadır. İhraççı şirketin temerrüdü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nedeniyle, özel sektör borçlanma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araçlarına yaptığınız yatırımların tamamını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kaybedebilir ve beklediğiniz kazançtan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mahrum kalabilirsiniz.</w:t>
      </w:r>
    </w:p>
    <w:p w:rsidR="00865516" w:rsidRPr="00B836EF" w:rsidRDefault="00865516" w:rsidP="00B836EF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865516" w:rsidRDefault="00B836EF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B836EF">
        <w:rPr>
          <w:rFonts w:cstheme="minorHAnsi"/>
          <w:bCs/>
          <w:szCs w:val="44"/>
        </w:rPr>
        <w:t>Özel sektör borçlanma araçlarının ihracına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izin verilmesi veya borsalarda veya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borsa dışında işlem örmeleri, bu araçların</w:t>
      </w:r>
      <w:r w:rsidR="00865516">
        <w:rPr>
          <w:rFonts w:cstheme="minorHAnsi"/>
          <w:bCs/>
          <w:szCs w:val="44"/>
        </w:rPr>
        <w:t xml:space="preserve"> </w:t>
      </w:r>
      <w:r w:rsidRPr="00B836EF">
        <w:rPr>
          <w:rFonts w:cstheme="minorHAnsi"/>
          <w:bCs/>
          <w:szCs w:val="44"/>
        </w:rPr>
        <w:t>Sermaye Piyasası Kurulu veya Borsa</w:t>
      </w:r>
      <w:r w:rsidR="00865516">
        <w:rPr>
          <w:rFonts w:cstheme="minorHAnsi"/>
          <w:bCs/>
          <w:szCs w:val="44"/>
        </w:rPr>
        <w:t xml:space="preserve"> </w:t>
      </w:r>
      <w:r w:rsidR="00865516" w:rsidRPr="00865516">
        <w:rPr>
          <w:rFonts w:cstheme="minorHAnsi"/>
          <w:bCs/>
          <w:szCs w:val="44"/>
        </w:rPr>
        <w:t>İstanbul A.Ş. tarafından tekeffül edildiği</w:t>
      </w:r>
      <w:r w:rsidR="00865516">
        <w:rPr>
          <w:rFonts w:cstheme="minorHAnsi"/>
          <w:bCs/>
          <w:szCs w:val="44"/>
        </w:rPr>
        <w:t xml:space="preserve"> </w:t>
      </w:r>
      <w:r w:rsidR="00865516" w:rsidRPr="00865516">
        <w:rPr>
          <w:rFonts w:cstheme="minorHAnsi"/>
          <w:bCs/>
          <w:szCs w:val="44"/>
        </w:rPr>
        <w:t>anlamına gelmemektedir.</w:t>
      </w:r>
    </w:p>
    <w:p w:rsidR="00865516" w:rsidRP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Vadeden önce ikincil piyasada gerçekleştirilen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işlemlerde, özel sektör borçlanma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araçlarının değeri, genel ekonomik ve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siyasi ortam kaynaklı fiyat hareketlerinden,</w:t>
      </w:r>
      <w:r>
        <w:rPr>
          <w:rFonts w:cstheme="minorHAnsi"/>
          <w:bCs/>
          <w:szCs w:val="44"/>
        </w:rPr>
        <w:t xml:space="preserve"> </w:t>
      </w:r>
      <w:proofErr w:type="gramStart"/>
      <w:r w:rsidRPr="00865516">
        <w:rPr>
          <w:rFonts w:cstheme="minorHAnsi"/>
          <w:bCs/>
          <w:szCs w:val="44"/>
        </w:rPr>
        <w:t>spekülatif</w:t>
      </w:r>
      <w:proofErr w:type="gramEnd"/>
      <w:r w:rsidRPr="00865516">
        <w:rPr>
          <w:rFonts w:cstheme="minorHAnsi"/>
          <w:bCs/>
          <w:szCs w:val="44"/>
        </w:rPr>
        <w:t xml:space="preserve"> ve </w:t>
      </w:r>
      <w:proofErr w:type="spellStart"/>
      <w:r w:rsidRPr="00865516">
        <w:rPr>
          <w:rFonts w:cstheme="minorHAnsi"/>
          <w:bCs/>
          <w:szCs w:val="44"/>
        </w:rPr>
        <w:t>manipülatif</w:t>
      </w:r>
      <w:proofErr w:type="spellEnd"/>
      <w:r w:rsidRPr="00865516">
        <w:rPr>
          <w:rFonts w:cstheme="minorHAnsi"/>
          <w:bCs/>
          <w:szCs w:val="44"/>
        </w:rPr>
        <w:t xml:space="preserve"> nitelikteki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işlemlerden etkilenebilecektir.</w:t>
      </w:r>
    </w:p>
    <w:p w:rsidR="00865516" w:rsidRP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Özel sektör borçlanma aracı işlemleri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karşı taraf riski ihtiva etmektedir. Bu doğrultuda,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işleme başlamadan önce, ihraççı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şirketin mali durumunun bozulması, iflası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ve temerrüt gerçekleşmesi gibi ihtimalleri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göz önünde bulundurmalısınız.</w:t>
      </w:r>
    </w:p>
    <w:p w:rsidR="00865516" w:rsidRP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865516" w:rsidRP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Yüksek risk içeren özel sektör araçları,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daha yüksek getiri imkânı sağlayabilmekle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birlikte, bu araçlara yatırım yapmanız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durumunda üstlendiğiniz riskin de daha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fazla olduğunun bilincinde olmalısınız.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Yatırım kararı vermeden önce, işlem gerçekleştirmek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istediğiniz özel sektör borçlanma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araçlarının ve ihraççı şirketlerin</w:t>
      </w: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865516">
        <w:rPr>
          <w:rFonts w:cstheme="minorHAnsi"/>
          <w:bCs/>
          <w:szCs w:val="44"/>
        </w:rPr>
        <w:t>barındırdıkları</w:t>
      </w:r>
      <w:proofErr w:type="gramEnd"/>
      <w:r w:rsidRPr="00865516">
        <w:rPr>
          <w:rFonts w:cstheme="minorHAnsi"/>
          <w:bCs/>
          <w:szCs w:val="44"/>
        </w:rPr>
        <w:t xml:space="preserve"> risk unsurlarını dikkatlice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değerlendirmeniz ve gerek duymanız durumunda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profesyonel yardım almanız tavsiye</w:t>
      </w:r>
      <w:r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olunur.</w:t>
      </w: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Vadeden önce ikincil piyasada yapılan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işlemlerde, borçlanma aracının nicelik,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nitelik ve diğer özellikleri ile piyasa koşullarına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göre oluşacak arz/talep dengesi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çerçevesinde likidite riski ile karşı karşıya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kalmanız mümkündür.</w:t>
      </w:r>
    </w:p>
    <w:p w:rsidR="00DC311B" w:rsidRPr="00865516" w:rsidRDefault="00DC311B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865516" w:rsidRDefault="00865516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Borçlanma Araçları Piyasası’nda gerçekleştirilen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işlemlerde, takas sürelerine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dikkat etmeniz ve temerrüde düşmüş kabul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edilmemek için süresi içerisinde takas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yükümlülüğünüzü yerine getirmeniz gerekmektedir.</w:t>
      </w:r>
    </w:p>
    <w:p w:rsidR="00DC311B" w:rsidRPr="00865516" w:rsidRDefault="00DC311B" w:rsidP="00865516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DC311B" w:rsidRDefault="00865516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865516">
        <w:rPr>
          <w:rFonts w:cstheme="minorHAnsi"/>
          <w:bCs/>
          <w:szCs w:val="44"/>
        </w:rPr>
        <w:t>Yabancı para cinsinden yapılan işlemlerde,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yukarıda sayılan risklere ek olarak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kur riskinin olduğu, kur dalgalanmaları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nedeniyle Türk Lirası bazında değer kaybı</w:t>
      </w:r>
      <w:r w:rsidR="00DC311B">
        <w:rPr>
          <w:rFonts w:cstheme="minorHAnsi"/>
          <w:bCs/>
          <w:szCs w:val="44"/>
        </w:rPr>
        <w:t xml:space="preserve"> </w:t>
      </w:r>
      <w:r w:rsidRPr="00865516">
        <w:rPr>
          <w:rFonts w:cstheme="minorHAnsi"/>
          <w:bCs/>
          <w:szCs w:val="44"/>
        </w:rPr>
        <w:t>olabileceği, devletlerin yabancı sermaye</w:t>
      </w:r>
      <w:r>
        <w:rPr>
          <w:rFonts w:cstheme="minorHAnsi"/>
          <w:bCs/>
          <w:szCs w:val="44"/>
        </w:rPr>
        <w:t xml:space="preserve"> </w:t>
      </w:r>
      <w:r w:rsidR="00DC311B" w:rsidRPr="00DC311B">
        <w:rPr>
          <w:rFonts w:cstheme="minorHAnsi"/>
          <w:bCs/>
          <w:szCs w:val="44"/>
        </w:rPr>
        <w:t>ve döviz hareketlerini kısıtlayabileceği, ek</w:t>
      </w:r>
      <w:r w:rsidR="00B81C6D">
        <w:rPr>
          <w:rFonts w:cstheme="minorHAnsi"/>
          <w:bCs/>
          <w:szCs w:val="44"/>
        </w:rPr>
        <w:t xml:space="preserve"> </w:t>
      </w:r>
      <w:r w:rsidR="00DC311B" w:rsidRPr="00DC311B">
        <w:rPr>
          <w:rFonts w:cstheme="minorHAnsi"/>
          <w:bCs/>
          <w:szCs w:val="44"/>
        </w:rPr>
        <w:t>ve/veya yeni vergiler getirebileceği, alım</w:t>
      </w:r>
      <w:r w:rsidR="00B81C6D">
        <w:rPr>
          <w:rFonts w:cstheme="minorHAnsi"/>
          <w:bCs/>
          <w:szCs w:val="44"/>
        </w:rPr>
        <w:t xml:space="preserve"> </w:t>
      </w:r>
      <w:r w:rsidR="00DC311B" w:rsidRPr="00DC311B">
        <w:rPr>
          <w:rFonts w:cstheme="minorHAnsi"/>
          <w:bCs/>
          <w:szCs w:val="44"/>
        </w:rPr>
        <w:t>satım işlemlerinin zamanında gerçekleşmeyebileceği</w:t>
      </w:r>
      <w:r w:rsidR="00B81C6D">
        <w:rPr>
          <w:rFonts w:cstheme="minorHAnsi"/>
          <w:bCs/>
          <w:szCs w:val="44"/>
        </w:rPr>
        <w:t xml:space="preserve"> </w:t>
      </w:r>
      <w:r w:rsidR="00DC311B" w:rsidRPr="00DC311B">
        <w:rPr>
          <w:rFonts w:cstheme="minorHAnsi"/>
          <w:bCs/>
          <w:szCs w:val="44"/>
        </w:rPr>
        <w:t>bilinmelidir.</w:t>
      </w:r>
    </w:p>
    <w:p w:rsidR="00B81C6D" w:rsidRPr="00DC311B" w:rsidRDefault="00B81C6D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DC311B" w:rsidRP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DC311B">
        <w:rPr>
          <w:rFonts w:cstheme="minorHAnsi"/>
          <w:bCs/>
          <w:szCs w:val="44"/>
        </w:rPr>
        <w:t>İlgili mevzuat çerçevesinde, borsalardaki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ihraççı şirketlerin işlem sıralarının kapatılabileceğinin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ve borçlanma araçlarının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sürekli veya geçici olarak borsa kotundan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çıkarılabileceğinin ve yetkili kurum ve kuruluşlar</w:t>
      </w:r>
    </w:p>
    <w:p w:rsid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DC311B">
        <w:rPr>
          <w:rFonts w:cstheme="minorHAnsi"/>
          <w:bCs/>
          <w:szCs w:val="44"/>
        </w:rPr>
        <w:t>tarafından</w:t>
      </w:r>
      <w:proofErr w:type="gramEnd"/>
      <w:r w:rsidRPr="00DC311B">
        <w:rPr>
          <w:rFonts w:cstheme="minorHAnsi"/>
          <w:bCs/>
          <w:szCs w:val="44"/>
        </w:rPr>
        <w:t xml:space="preserve"> sair tedbir ve aksiyonun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alınabileceğinin bilincinde olmalısınız.</w:t>
      </w:r>
    </w:p>
    <w:p w:rsidR="00B81C6D" w:rsidRPr="00DC311B" w:rsidRDefault="00B81C6D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DC311B" w:rsidRP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DC311B">
        <w:rPr>
          <w:rFonts w:cstheme="minorHAnsi"/>
          <w:bCs/>
          <w:szCs w:val="44"/>
        </w:rPr>
        <w:lastRenderedPageBreak/>
        <w:t>Borçlanma Araçları Piyasası’nda işlem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gören tüm özel sektör borçlanma araçları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için piyasa yapıcılığı sistemi uygulanabilmektedir.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Piyasa yapıcısı olan Borsa İstanbul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A.Ş. üyelerine ve piyasa yapıcı olarak</w:t>
      </w:r>
      <w:r w:rsidR="00B81C6D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hizmet verecekleri menkul kıymetlere ilişkin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bilgilere www.kap.gov.tr ve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www.borsaistanbul.com adresinden ulaşabilirsiniz.</w:t>
      </w:r>
    </w:p>
    <w:p w:rsid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DC311B">
        <w:rPr>
          <w:rFonts w:cstheme="minorHAnsi"/>
          <w:bCs/>
          <w:szCs w:val="44"/>
        </w:rPr>
        <w:t>Çalışmayı düşündüğünüz yatırım kuruluşunun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yapacağınız işlemlere ilişkin tarafınıza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aktaracağı bilgiler ve tavsiyelerin eksik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veya doğrulanmaya muhtaç olabileceği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tarafınızca dikkate alınmalıdır.</w:t>
      </w:r>
    </w:p>
    <w:p w:rsidR="00671F32" w:rsidRPr="00DC311B" w:rsidRDefault="00671F32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DC311B" w:rsidRP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DC311B">
        <w:rPr>
          <w:rFonts w:cstheme="minorHAnsi"/>
          <w:bCs/>
          <w:szCs w:val="44"/>
        </w:rPr>
        <w:t>Çalışmayı düşündüğünüz yatırım kuruluşunun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yetkili personelince yapılacak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teknik ve temel analizin kişiden kişiye farklılık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arz edebileceğini ve bu analizlerde yer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verilen öngörülerin gerçekleşmeme olasılığının</w:t>
      </w:r>
    </w:p>
    <w:p w:rsid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proofErr w:type="gramStart"/>
      <w:r w:rsidRPr="00DC311B">
        <w:rPr>
          <w:rFonts w:cstheme="minorHAnsi"/>
          <w:bCs/>
          <w:szCs w:val="44"/>
        </w:rPr>
        <w:t>bulunduğunu</w:t>
      </w:r>
      <w:proofErr w:type="gramEnd"/>
      <w:r w:rsidRPr="00DC311B">
        <w:rPr>
          <w:rFonts w:cstheme="minorHAnsi"/>
          <w:bCs/>
          <w:szCs w:val="44"/>
        </w:rPr>
        <w:t xml:space="preserve"> dikkate almalısınız.</w:t>
      </w:r>
    </w:p>
    <w:p w:rsidR="00671F32" w:rsidRPr="00DC311B" w:rsidRDefault="00671F32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DC311B" w:rsidRPr="00DC311B" w:rsidRDefault="00DC311B" w:rsidP="00DC311B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/>
          <w:bCs/>
          <w:szCs w:val="44"/>
        </w:rPr>
      </w:pPr>
      <w:r w:rsidRPr="00DC311B">
        <w:rPr>
          <w:rFonts w:cstheme="minorHAnsi"/>
          <w:b/>
          <w:bCs/>
          <w:szCs w:val="44"/>
        </w:rPr>
        <w:t>VI. DİĞER RİSKLER</w:t>
      </w:r>
    </w:p>
    <w:p w:rsidR="00671F32" w:rsidRDefault="00DC311B" w:rsidP="00671F3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  <w:r w:rsidRPr="00DC311B">
        <w:rPr>
          <w:rFonts w:cstheme="minorHAnsi"/>
          <w:bCs/>
          <w:i/>
          <w:iCs/>
          <w:szCs w:val="44"/>
        </w:rPr>
        <w:t>Özel Sektör Borçlanma Araçlarına İlişkin</w:t>
      </w:r>
      <w:r w:rsidR="00671F32">
        <w:rPr>
          <w:rFonts w:cstheme="minorHAnsi"/>
          <w:bCs/>
          <w:i/>
          <w:iCs/>
          <w:szCs w:val="44"/>
        </w:rPr>
        <w:t xml:space="preserve"> </w:t>
      </w:r>
      <w:r w:rsidRPr="00DC311B">
        <w:rPr>
          <w:rFonts w:cstheme="minorHAnsi"/>
          <w:bCs/>
          <w:i/>
          <w:iCs/>
          <w:szCs w:val="44"/>
        </w:rPr>
        <w:t>Risk Bildirim Formu</w:t>
      </w:r>
      <w:r w:rsidRPr="00DC311B">
        <w:rPr>
          <w:rFonts w:cstheme="minorHAnsi"/>
          <w:bCs/>
          <w:szCs w:val="44"/>
        </w:rPr>
        <w:t>, forma konu piyasa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ve piyasada işlem gören ürünlere ilişkin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riskler hakkında genel olarak bilgilendirilmenizi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amaçlamakta olup, özel sektör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borçlanma aracı işlemlerinden ve uygulamadan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kaynaklanabilecek tüm riskleri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kapsamayabilir. Bu nedenle yatırım kararı</w:t>
      </w:r>
      <w:r w:rsidR="00671F32">
        <w:rPr>
          <w:rFonts w:cstheme="minorHAnsi"/>
          <w:bCs/>
          <w:szCs w:val="44"/>
        </w:rPr>
        <w:t xml:space="preserve"> </w:t>
      </w:r>
      <w:r w:rsidRPr="00DC311B">
        <w:rPr>
          <w:rFonts w:cstheme="minorHAnsi"/>
          <w:bCs/>
          <w:szCs w:val="44"/>
        </w:rPr>
        <w:t>almadan önce işlem gerçekleştirmek istediğiniz</w:t>
      </w:r>
      <w:r w:rsidR="00671F32">
        <w:rPr>
          <w:rFonts w:cstheme="minorHAnsi"/>
          <w:bCs/>
          <w:szCs w:val="44"/>
        </w:rPr>
        <w:t xml:space="preserve"> </w:t>
      </w:r>
      <w:r w:rsidR="00671F32" w:rsidRPr="00671F32">
        <w:rPr>
          <w:rFonts w:cstheme="minorHAnsi"/>
          <w:bCs/>
          <w:szCs w:val="44"/>
        </w:rPr>
        <w:t>borçlanma aracı, ihraççı şirket, piyasa,</w:t>
      </w:r>
      <w:r w:rsidR="00671F32">
        <w:rPr>
          <w:rFonts w:cstheme="minorHAnsi"/>
          <w:bCs/>
          <w:szCs w:val="44"/>
        </w:rPr>
        <w:t xml:space="preserve"> </w:t>
      </w:r>
      <w:r w:rsidR="00671F32" w:rsidRPr="00671F32">
        <w:rPr>
          <w:rFonts w:cstheme="minorHAnsi"/>
          <w:bCs/>
          <w:szCs w:val="44"/>
        </w:rPr>
        <w:t>platform ve pazarlar ile ilgili gerekli</w:t>
      </w:r>
      <w:r w:rsidR="00671F32">
        <w:rPr>
          <w:rFonts w:cstheme="minorHAnsi"/>
          <w:bCs/>
          <w:szCs w:val="44"/>
        </w:rPr>
        <w:t xml:space="preserve"> </w:t>
      </w:r>
      <w:r w:rsidR="00671F32" w:rsidRPr="00671F32">
        <w:rPr>
          <w:rFonts w:cstheme="minorHAnsi"/>
          <w:bCs/>
          <w:szCs w:val="44"/>
        </w:rPr>
        <w:t>araştırmayı yapmanızı ve profesyonel yardım</w:t>
      </w:r>
      <w:r w:rsidR="00671F32">
        <w:rPr>
          <w:rFonts w:cstheme="minorHAnsi"/>
          <w:bCs/>
          <w:szCs w:val="44"/>
        </w:rPr>
        <w:t xml:space="preserve"> </w:t>
      </w:r>
      <w:r w:rsidR="00671F32" w:rsidRPr="00671F32">
        <w:rPr>
          <w:rFonts w:cstheme="minorHAnsi"/>
          <w:bCs/>
          <w:szCs w:val="44"/>
        </w:rPr>
        <w:t>almanızı tavsiye ederiz.</w:t>
      </w:r>
    </w:p>
    <w:p w:rsidR="00671F32" w:rsidRPr="00671F32" w:rsidRDefault="00671F32" w:rsidP="00671F32">
      <w:pPr>
        <w:autoSpaceDE w:val="0"/>
        <w:autoSpaceDN w:val="0"/>
        <w:adjustRightInd w:val="0"/>
        <w:spacing w:after="0" w:afterAutospacing="0"/>
        <w:jc w:val="left"/>
        <w:rPr>
          <w:rFonts w:cstheme="minorHAnsi"/>
          <w:bCs/>
          <w:szCs w:val="44"/>
        </w:rPr>
      </w:pPr>
    </w:p>
    <w:p w:rsidR="00784412" w:rsidRPr="00784412" w:rsidRDefault="00784412" w:rsidP="00784412">
      <w:pPr>
        <w:jc w:val="center"/>
        <w:rPr>
          <w:rFonts w:cstheme="minorHAnsi"/>
          <w:sz w:val="4"/>
        </w:rPr>
      </w:pPr>
    </w:p>
    <w:sectPr w:rsidR="00784412" w:rsidRPr="00784412" w:rsidSect="00171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7F"/>
    <w:rsid w:val="00171548"/>
    <w:rsid w:val="0031597F"/>
    <w:rsid w:val="00504318"/>
    <w:rsid w:val="00660EB5"/>
    <w:rsid w:val="00671F32"/>
    <w:rsid w:val="00784412"/>
    <w:rsid w:val="00865516"/>
    <w:rsid w:val="008D6943"/>
    <w:rsid w:val="008E226C"/>
    <w:rsid w:val="00937183"/>
    <w:rsid w:val="00B81C6D"/>
    <w:rsid w:val="00B836EF"/>
    <w:rsid w:val="00D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B7E9"/>
  <w15:chartTrackingRefBased/>
  <w15:docId w15:val="{16101CDC-F6DB-44EB-8CF6-5449EFF7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84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pb.org.tr" TargetMode="External"/><Relationship Id="rId5" Type="http://schemas.openxmlformats.org/officeDocument/2006/relationships/hyperlink" Target="http://www.borsaistanbul.com" TargetMode="External"/><Relationship Id="rId4" Type="http://schemas.openxmlformats.org/officeDocument/2006/relationships/hyperlink" Target="http://www.sp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Ustaoğlu</dc:creator>
  <cp:keywords/>
  <dc:description/>
  <cp:lastModifiedBy>Banu Ustaoğlu</cp:lastModifiedBy>
  <cp:revision>8</cp:revision>
  <dcterms:created xsi:type="dcterms:W3CDTF">2024-05-21T14:41:00Z</dcterms:created>
  <dcterms:modified xsi:type="dcterms:W3CDTF">2024-05-21T15:07:00Z</dcterms:modified>
</cp:coreProperties>
</file>